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340"/>
          </w:cols>
          <w:pgMar w:left="460" w:top="215" w:right="4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V, L.P.</w:t>
              </w:r>
            </w:hyperlink>
          </w:p>
        </w:tc>
        <w:tc>
          <w:tcPr>
            <w:tcW w:w="60" w:type="dxa"/>
            <w:vAlign w:val="bottom"/>
          </w:tcPr>
          <w:p>
            <w:pPr>
              <w:spacing w:after="0"/>
              <w:rPr>
                <w:sz w:val="15"/>
                <w:szCs w:val="15"/>
                <w:color w:val="auto"/>
              </w:rPr>
            </w:pPr>
          </w:p>
        </w:tc>
        <w:tc>
          <w:tcPr>
            <w:tcW w:w="2800" w:type="dxa"/>
            <w:vAlign w:val="bottom"/>
            <w:gridSpan w:val="5"/>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vMerge w:val="restart"/>
          </w:tcPr>
          <w:p>
            <w:pPr>
              <w:ind w:left="220"/>
              <w:spacing w:after="0" w:line="146" w:lineRule="exact"/>
              <w:rPr>
                <w:sz w:val="20"/>
                <w:szCs w:val="20"/>
                <w:color w:val="auto"/>
              </w:rPr>
            </w:pPr>
            <w:r>
              <w:rPr>
                <w:rFonts w:ascii="Arial" w:cs="Arial" w:eastAsia="Arial" w:hAnsi="Arial"/>
                <w:sz w:val="13"/>
                <w:szCs w:val="13"/>
                <w:color w:val="auto"/>
              </w:rPr>
              <w:t>Director</w:t>
            </w:r>
          </w:p>
        </w:tc>
        <w:tc>
          <w:tcPr>
            <w:tcW w:w="1800" w:type="dxa"/>
            <w:vAlign w:val="bottom"/>
            <w:gridSpan w:val="3"/>
            <w:vMerge w:val="restart"/>
          </w:tcPr>
          <w:p>
            <w:pPr>
              <w:ind w:left="6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3"/>
                <w:szCs w:val="13"/>
                <w:color w:val="auto"/>
                <w:w w:val="95"/>
              </w:rPr>
              <w:t>Officer (give title</w:t>
            </w:r>
          </w:p>
        </w:tc>
        <w:tc>
          <w:tcPr>
            <w:tcW w:w="1800" w:type="dxa"/>
            <w:vAlign w:val="bottom"/>
            <w:gridSpan w:val="3"/>
            <w:vMerge w:val="restart"/>
          </w:tcPr>
          <w:p>
            <w:pPr>
              <w:ind w:left="6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00"/>
              <w:spacing w:after="0"/>
              <w:rPr>
                <w:sz w:val="20"/>
                <w:szCs w:val="20"/>
                <w:color w:val="auto"/>
              </w:rPr>
            </w:pPr>
            <w:r>
              <w:rPr>
                <w:rFonts w:ascii="Arial" w:cs="Arial" w:eastAsia="Arial" w:hAnsi="Arial"/>
                <w:sz w:val="13"/>
                <w:szCs w:val="13"/>
                <w:color w:val="auto"/>
              </w:rPr>
              <w:t>(First)</w:t>
            </w:r>
          </w:p>
        </w:tc>
        <w:tc>
          <w:tcPr>
            <w:tcW w:w="520" w:type="dxa"/>
            <w:vAlign w:val="bottom"/>
          </w:tcPr>
          <w:p>
            <w:pPr>
              <w:ind w:left="40"/>
              <w:spacing w:after="0"/>
              <w:rPr>
                <w:sz w:val="20"/>
                <w:szCs w:val="20"/>
                <w:color w:val="auto"/>
              </w:rPr>
            </w:pPr>
            <w:r>
              <w:rPr>
                <w:rFonts w:ascii="Arial" w:cs="Arial" w:eastAsia="Arial" w:hAnsi="Arial"/>
                <w:sz w:val="13"/>
                <w:szCs w:val="13"/>
                <w:color w:val="auto"/>
                <w:w w:val="97"/>
              </w:rPr>
              <w:t>(Middle)</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below)</w:t>
            </w:r>
          </w:p>
        </w:tc>
        <w:tc>
          <w:tcPr>
            <w:tcW w:w="1800" w:type="dxa"/>
            <w:vAlign w:val="bottom"/>
            <w:gridSpan w:val="3"/>
          </w:tcPr>
          <w:p>
            <w:pPr>
              <w:ind w:left="6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06/11/2026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2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80" w:type="dxa"/>
            <w:vAlign w:val="bottom"/>
            <w:gridSpan w:val="6"/>
            <w:vMerge w:val="restart"/>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480" w:type="dxa"/>
            <w:vAlign w:val="bottom"/>
          </w:tcPr>
          <w:p>
            <w:pPr>
              <w:spacing w:after="0"/>
              <w:rPr>
                <w:sz w:val="6"/>
                <w:szCs w:val="6"/>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0000FF"/>
              </w:rPr>
              <w:t>CA</w:t>
            </w:r>
          </w:p>
        </w:tc>
        <w:tc>
          <w:tcPr>
            <w:tcW w:w="52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94025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00"/>
              <w:spacing w:after="0"/>
              <w:rPr>
                <w:sz w:val="20"/>
                <w:szCs w:val="20"/>
                <w:color w:val="auto"/>
              </w:rPr>
            </w:pPr>
            <w:r>
              <w:rPr>
                <w:rFonts w:ascii="Arial" w:cs="Arial" w:eastAsia="Arial" w:hAnsi="Arial"/>
                <w:sz w:val="13"/>
                <w:szCs w:val="13"/>
                <w:color w:val="auto"/>
              </w:rPr>
              <w:t>(State)</w:t>
            </w:r>
          </w:p>
        </w:tc>
        <w:tc>
          <w:tcPr>
            <w:tcW w:w="520" w:type="dxa"/>
            <w:vAlign w:val="bottom"/>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40" w:type="dxa"/>
            <w:vAlign w:val="bottom"/>
            <w:tcBorders>
              <w:top w:val="single" w:sz="8" w:color="2C2C2C"/>
            </w:tcBorders>
            <w:gridSpan w:val="15"/>
          </w:tcPr>
          <w:p>
            <w:pPr>
              <w:jc w:val="right"/>
              <w:ind w:right="51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5"/>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546</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546</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370.4</w:t>
            </w:r>
            <w:r>
              <w:rPr>
                <w:rFonts w:ascii="Times New Roman" w:cs="Times New Roman" w:eastAsia="Times New Roman" w:hAnsi="Times New Roman"/>
                <w:sz w:val="20"/>
                <w:szCs w:val="20"/>
                <w:color w:val="008000"/>
                <w:w w:val="95"/>
                <w:vertAlign w:val="superscript"/>
              </w:rPr>
              <w:t>(10)</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533</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371.55</w:t>
            </w:r>
            <w:r>
              <w:rPr>
                <w:rFonts w:ascii="Times New Roman" w:cs="Times New Roman" w:eastAsia="Times New Roman" w:hAnsi="Times New Roman"/>
                <w:sz w:val="20"/>
                <w:szCs w:val="20"/>
                <w:color w:val="008000"/>
                <w:w w:val="95"/>
                <w:vertAlign w:val="superscript"/>
              </w:rPr>
              <w:t>(11)</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526</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372.6</w:t>
            </w:r>
            <w:r>
              <w:rPr>
                <w:rFonts w:ascii="Times New Roman" w:cs="Times New Roman" w:eastAsia="Times New Roman" w:hAnsi="Times New Roman"/>
                <w:sz w:val="20"/>
                <w:szCs w:val="20"/>
                <w:color w:val="008000"/>
                <w:w w:val="95"/>
                <w:vertAlign w:val="superscript"/>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511</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373.59</w:t>
            </w:r>
            <w:r>
              <w:rPr>
                <w:rFonts w:ascii="Times New Roman" w:cs="Times New Roman" w:eastAsia="Times New Roman" w:hAnsi="Times New Roman"/>
                <w:sz w:val="20"/>
                <w:szCs w:val="20"/>
                <w:color w:val="008000"/>
                <w:w w:val="95"/>
                <w:vertAlign w:val="superscript"/>
              </w:rPr>
              <w:t>(13)</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483</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374.68</w:t>
            </w:r>
            <w:r>
              <w:rPr>
                <w:rFonts w:ascii="Times New Roman" w:cs="Times New Roman" w:eastAsia="Times New Roman" w:hAnsi="Times New Roman"/>
                <w:sz w:val="20"/>
                <w:szCs w:val="20"/>
                <w:color w:val="008000"/>
                <w:w w:val="95"/>
                <w:vertAlign w:val="superscript"/>
              </w:rPr>
              <w:t>(14)</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444</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9"/>
                <w:szCs w:val="19"/>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22</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19" w:lineRule="exact"/>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375.6</w:t>
            </w:r>
            <w:r>
              <w:rPr>
                <w:rFonts w:ascii="Times New Roman" w:cs="Times New Roman" w:eastAsia="Times New Roman" w:hAnsi="Times New Roman"/>
                <w:sz w:val="20"/>
                <w:szCs w:val="20"/>
                <w:color w:val="008000"/>
                <w:w w:val="95"/>
                <w:vertAlign w:val="superscript"/>
              </w:rPr>
              <w:t>(15)</w:t>
            </w: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0000FF"/>
              </w:rPr>
              <w:t>422</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Technology</w:t>
      </w:r>
    </w:p>
    <w:p>
      <w:pPr>
        <w:spacing w:after="0" w:line="1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Investors V,</w:t>
      </w:r>
    </w:p>
    <w:p>
      <w:pPr>
        <w:ind w:left="10120"/>
        <w:spacing w:after="0" w:line="182" w:lineRule="auto"/>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5" w:right="4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7065" cy="10525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065" cy="10525125"/>
                    </a:xfrm>
                    <a:prstGeom prst="rect">
                      <a:avLst/>
                    </a:prstGeom>
                    <a:noFill/>
                  </pic:spPr>
                </pic:pic>
              </a:graphicData>
            </a:graphic>
          </wp:anchor>
        </w:drawing>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jc w:val="center"/>
              <w:ind w:left="544"/>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39</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376.66</w:t>
            </w:r>
            <w:r>
              <w:rPr>
                <w:rFonts w:ascii="Times New Roman" w:cs="Times New Roman" w:eastAsia="Times New Roman" w:hAnsi="Times New Roman"/>
                <w:sz w:val="20"/>
                <w:szCs w:val="20"/>
                <w:color w:val="008000"/>
                <w:w w:val="95"/>
                <w:vertAlign w:val="superscript"/>
              </w:rPr>
              <w:t>(16)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48</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377.76</w:t>
            </w:r>
            <w:r>
              <w:rPr>
                <w:rFonts w:ascii="Times New Roman" w:cs="Times New Roman" w:eastAsia="Times New Roman" w:hAnsi="Times New Roman"/>
                <w:sz w:val="20"/>
                <w:szCs w:val="20"/>
                <w:color w:val="008000"/>
                <w:w w:val="95"/>
                <w:vertAlign w:val="superscript"/>
              </w:rPr>
              <w:t>(17)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71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378.66</w:t>
            </w:r>
            <w:r>
              <w:rPr>
                <w:rFonts w:ascii="Times New Roman" w:cs="Times New Roman" w:eastAsia="Times New Roman" w:hAnsi="Times New Roman"/>
                <w:sz w:val="20"/>
                <w:szCs w:val="20"/>
                <w:color w:val="008000"/>
                <w:w w:val="95"/>
                <w:vertAlign w:val="superscript"/>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46</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379.69</w:t>
            </w:r>
            <w:r>
              <w:rPr>
                <w:rFonts w:ascii="Times New Roman" w:cs="Times New Roman" w:eastAsia="Times New Roman" w:hAnsi="Times New Roman"/>
                <w:sz w:val="20"/>
                <w:szCs w:val="20"/>
                <w:color w:val="008000"/>
                <w:w w:val="95"/>
                <w:vertAlign w:val="superscript"/>
              </w:rPr>
              <w:t>(19)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33</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380.6</w:t>
            </w:r>
            <w:r>
              <w:rPr>
                <w:rFonts w:ascii="Times New Roman" w:cs="Times New Roman" w:eastAsia="Times New Roman" w:hAnsi="Times New Roman"/>
                <w:sz w:val="20"/>
                <w:szCs w:val="20"/>
                <w:color w:val="008000"/>
                <w:w w:val="95"/>
                <w:vertAlign w:val="superscript"/>
              </w:rPr>
              <w:t>(20)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11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381.53</w:t>
            </w:r>
            <w:r>
              <w:rPr>
                <w:rFonts w:ascii="Times New Roman" w:cs="Times New Roman" w:eastAsia="Times New Roman" w:hAnsi="Times New Roman"/>
                <w:sz w:val="20"/>
                <w:szCs w:val="20"/>
                <w:color w:val="008000"/>
                <w:w w:val="95"/>
                <w:vertAlign w:val="superscript"/>
              </w:rPr>
              <w:t>(21)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10</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382.83</w:t>
            </w:r>
            <w:r>
              <w:rPr>
                <w:rFonts w:ascii="Times New Roman" w:cs="Times New Roman" w:eastAsia="Times New Roman" w:hAnsi="Times New Roman"/>
                <w:sz w:val="20"/>
                <w:szCs w:val="20"/>
                <w:color w:val="008000"/>
                <w:w w:val="95"/>
                <w:vertAlign w:val="superscript"/>
              </w:rPr>
              <w:t>(22)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18</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383.91</w:t>
            </w:r>
            <w:r>
              <w:rPr>
                <w:rFonts w:ascii="Times New Roman" w:cs="Times New Roman" w:eastAsia="Times New Roman" w:hAnsi="Times New Roman"/>
                <w:sz w:val="20"/>
                <w:szCs w:val="20"/>
                <w:color w:val="008000"/>
                <w:w w:val="95"/>
                <w:vertAlign w:val="superscript"/>
              </w:rPr>
              <w:t>(23)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36</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384.78</w:t>
            </w:r>
            <w:r>
              <w:rPr>
                <w:rFonts w:ascii="Times New Roman" w:cs="Times New Roman" w:eastAsia="Times New Roman" w:hAnsi="Times New Roman"/>
                <w:sz w:val="20"/>
                <w:szCs w:val="20"/>
                <w:color w:val="008000"/>
                <w:w w:val="95"/>
                <w:vertAlign w:val="superscript"/>
              </w:rPr>
              <w:t>(24)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10</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385.87</w:t>
            </w:r>
            <w:r>
              <w:rPr>
                <w:rFonts w:ascii="Times New Roman" w:cs="Times New Roman" w:eastAsia="Times New Roman" w:hAnsi="Times New Roman"/>
                <w:sz w:val="20"/>
                <w:szCs w:val="20"/>
                <w:color w:val="008000"/>
                <w:w w:val="95"/>
                <w:vertAlign w:val="superscript"/>
              </w:rPr>
              <w:t>(25)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4"/>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rPr>
              <w:t>25</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386.77</w:t>
            </w:r>
            <w:r>
              <w:rPr>
                <w:rFonts w:ascii="Times New Roman" w:cs="Times New Roman" w:eastAsia="Times New Roman" w:hAnsi="Times New Roman"/>
                <w:sz w:val="20"/>
                <w:szCs w:val="20"/>
                <w:color w:val="008000"/>
                <w:w w:val="95"/>
                <w:vertAlign w:val="superscript"/>
              </w:rPr>
              <w:t>(26)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9" w:right="479" w:bottom="317" w:gutter="0" w:footer="0" w:header="0"/>
        </w:sectPr>
      </w:pPr>
    </w:p>
    <w:p>
      <w:pPr>
        <w:ind w:left="10100"/>
        <w:spacing w:after="0" w:line="201"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0940"/>
          </w:cols>
          <w:pgMar w:left="480" w:top="189" w:right="479" w:bottom="317" w:gutter="0" w:footer="0" w:header="0"/>
          <w:type w:val="continuous"/>
        </w:sectPr>
      </w:pPr>
    </w:p>
    <w:p>
      <w:pPr>
        <w:ind w:left="10100"/>
        <w:spacing w:after="0"/>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40"/>
          </w:cols>
          <w:pgMar w:left="480" w:top="189" w:right="479" w:bottom="317"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7065" cy="1052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065" cy="10525125"/>
                    </a:xfrm>
                    <a:prstGeom prst="rect">
                      <a:avLst/>
                    </a:prstGeom>
                    <a:noFill/>
                  </pic:spPr>
                </pic:pic>
              </a:graphicData>
            </a:graphic>
          </wp:anchor>
        </w:drawing>
        <w:t>Table I - Non-Derivative Securities Acquired, Disposed of, or Beneficially Owned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jc w:val="center"/>
              <w:ind w:left="549"/>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color w:val="0000FF"/>
              </w:rPr>
              <w:t>11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387.78</w:t>
            </w:r>
            <w:r>
              <w:rPr>
                <w:rFonts w:ascii="Times New Roman" w:cs="Times New Roman" w:eastAsia="Times New Roman" w:hAnsi="Times New Roman"/>
                <w:sz w:val="20"/>
                <w:szCs w:val="20"/>
                <w:color w:val="008000"/>
                <w:vertAlign w:val="superscript"/>
              </w:rPr>
              <w:t>(27)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color w:val="0000FF"/>
              </w:rPr>
              <w:t>19</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388.94</w:t>
            </w:r>
            <w:r>
              <w:rPr>
                <w:rFonts w:ascii="Times New Roman" w:cs="Times New Roman" w:eastAsia="Times New Roman" w:hAnsi="Times New Roman"/>
                <w:sz w:val="20"/>
                <w:szCs w:val="20"/>
                <w:color w:val="008000"/>
                <w:vertAlign w:val="superscript"/>
              </w:rPr>
              <w:t>(28)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color w:val="0000FF"/>
              </w:rPr>
              <w:t>27</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390.03</w:t>
            </w:r>
            <w:r>
              <w:rPr>
                <w:rFonts w:ascii="Times New Roman" w:cs="Times New Roman" w:eastAsia="Times New Roman" w:hAnsi="Times New Roman"/>
                <w:sz w:val="20"/>
                <w:szCs w:val="20"/>
                <w:color w:val="008000"/>
                <w:vertAlign w:val="superscript"/>
              </w:rPr>
              <w:t>(29)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4"/>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06/11/2026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color w:val="0000FF"/>
              </w:rPr>
              <w:t>18</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390.92</w:t>
            </w:r>
            <w:r>
              <w:rPr>
                <w:rFonts w:ascii="Times New Roman" w:cs="Times New Roman" w:eastAsia="Times New Roman" w:hAnsi="Times New Roman"/>
                <w:sz w:val="20"/>
                <w:szCs w:val="20"/>
                <w:color w:val="008000"/>
                <w:vertAlign w:val="superscript"/>
              </w:rPr>
              <w:t>(30)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20"/>
        <w:spacing w:after="0" w:line="201"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1080"/>
          </w:cols>
          <w:pgMar w:left="460" w:top="189" w:right="359" w:bottom="0" w:gutter="0" w:footer="0" w:header="0"/>
          <w:type w:val="continuous"/>
        </w:sectPr>
      </w:pPr>
    </w:p>
    <w:p>
      <w:pPr>
        <w:ind w:left="10120"/>
        <w:spacing w:after="0"/>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0"/>
          <w:szCs w:val="10"/>
          <w:color w:val="008000"/>
        </w:rPr>
        <w:t>(3)(4)</w:t>
      </w:r>
    </w:p>
    <w:p>
      <w:pPr>
        <w:spacing w:after="0" w:line="14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Held</w:t>
      </w:r>
    </w:p>
    <w:p>
      <w:pPr>
        <w:spacing w:after="0" w:line="30"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through</w:t>
      </w:r>
    </w:p>
    <w:p>
      <w:pPr>
        <w:spacing w:after="0" w:line="17" w:lineRule="exact"/>
        <w:rPr>
          <w:sz w:val="20"/>
          <w:szCs w:val="20"/>
          <w:color w:val="auto"/>
        </w:rPr>
      </w:pPr>
    </w:p>
    <w:p>
      <w:pPr>
        <w:ind w:left="80"/>
        <w:spacing w:after="0"/>
        <w:tabs>
          <w:tab w:leader="none" w:pos="8400" w:val="left"/>
          <w:tab w:leader="none" w:pos="9560" w:val="left"/>
          <w:tab w:leader="none" w:pos="10100" w:val="left"/>
        </w:tabs>
        <w:rPr>
          <w:sz w:val="20"/>
          <w:szCs w:val="20"/>
          <w:color w:val="auto"/>
        </w:rPr>
      </w:pPr>
      <w:r>
        <w:rPr>
          <w:rFonts w:ascii="Times New Roman" w:cs="Times New Roman" w:eastAsia="Times New Roman" w:hAnsi="Times New Roman"/>
          <w:sz w:val="16"/>
          <w:szCs w:val="16"/>
          <w:color w:val="0000FF"/>
        </w:rPr>
        <w:t>Class C Common Stock</w:t>
      </w:r>
      <w:r>
        <w:rPr>
          <w:sz w:val="20"/>
          <w:szCs w:val="20"/>
          <w:color w:val="auto"/>
        </w:rPr>
        <w:tab/>
      </w:r>
      <w:r>
        <w:rPr>
          <w:rFonts w:ascii="Times New Roman" w:cs="Times New Roman" w:eastAsia="Times New Roman" w:hAnsi="Times New Roman"/>
          <w:sz w:val="16"/>
          <w:szCs w:val="16"/>
          <w:color w:val="0000FF"/>
        </w:rPr>
        <w:t>9,359</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16"/>
          <w:szCs w:val="16"/>
          <w:color w:val="0000FF"/>
        </w:rPr>
        <w:t>Silver Lake</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Group,</w:t>
      </w:r>
    </w:p>
    <w:p>
      <w:pPr>
        <w:ind w:left="10120"/>
        <w:spacing w:after="0" w:line="182" w:lineRule="auto"/>
        <w:rPr>
          <w:sz w:val="20"/>
          <w:szCs w:val="20"/>
          <w:color w:val="auto"/>
        </w:rPr>
      </w:pPr>
      <w:r>
        <w:rPr>
          <w:rFonts w:ascii="Times New Roman" w:cs="Times New Roman" w:eastAsia="Times New Roman" w:hAnsi="Times New Roman"/>
          <w:sz w:val="25"/>
          <w:szCs w:val="25"/>
          <w:color w:val="0000FF"/>
          <w:vertAlign w:val="subscript"/>
        </w:rPr>
        <w:t>L.L.C.</w:t>
      </w:r>
      <w:r>
        <w:rPr>
          <w:rFonts w:ascii="Times New Roman" w:cs="Times New Roman" w:eastAsia="Times New Roman" w:hAnsi="Times New Roman"/>
          <w:sz w:val="9"/>
          <w:szCs w:val="9"/>
          <w:color w:val="008000"/>
        </w:rPr>
        <w:t>(4)(5)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4,845</w:t>
            </w:r>
          </w:p>
        </w:tc>
        <w:tc>
          <w:tcPr>
            <w:tcW w:w="700" w:type="dxa"/>
            <w:vAlign w:val="bottom"/>
          </w:tcPr>
          <w:p>
            <w:pPr>
              <w:spacing w:after="0"/>
              <w:rPr>
                <w:sz w:val="17"/>
                <w:szCs w:val="17"/>
                <w:color w:val="auto"/>
              </w:rPr>
            </w:pP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164,214</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83"/>
              <w:spacing w:after="0"/>
              <w:rPr>
                <w:sz w:val="20"/>
                <w:szCs w:val="20"/>
                <w:color w:val="auto"/>
              </w:rPr>
            </w:pPr>
            <w:r>
              <w:rPr>
                <w:rFonts w:ascii="Times New Roman" w:cs="Times New Roman" w:eastAsia="Times New Roman" w:hAnsi="Times New Roman"/>
                <w:sz w:val="16"/>
                <w:szCs w:val="16"/>
                <w:color w:val="0000FF"/>
              </w:rPr>
              <w:t>1,317,963</w:t>
            </w:r>
          </w:p>
        </w:tc>
        <w:tc>
          <w:tcPr>
            <w:tcW w:w="900" w:type="dxa"/>
            <w:vAlign w:val="bottom"/>
            <w:tcBorders>
              <w:top w:val="single" w:sz="8" w:color="2C2C2C"/>
              <w:bottom w:val="single" w:sz="8" w:color="2C2C2C"/>
            </w:tcBorders>
            <w:gridSpan w:val="2"/>
          </w:tcPr>
          <w:p>
            <w:pPr>
              <w:jc w:val="center"/>
              <w:ind w:right="591"/>
              <w:spacing w:after="0" w:line="301"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47,234</w:t>
            </w: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175,011</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10"/>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restart"/>
          </w:tcPr>
          <w:p>
            <w:pPr>
              <w:ind w:left="60"/>
              <w:spacing w:after="0" w:line="264"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2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6"/>
                <w:szCs w:val="6"/>
                <w:color w:val="auto"/>
              </w:rPr>
            </w:pPr>
          </w:p>
        </w:tc>
        <w:tc>
          <w:tcPr>
            <w:tcW w:w="8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color w:val="0000FF"/>
              </w:rPr>
              <w:t>546</w:t>
            </w: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Borders>
              <w:right w:val="single" w:sz="8" w:color="2C2C2C"/>
            </w:tcBorders>
            <w:gridSpan w:val="3"/>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continue"/>
          </w:tcPr>
          <w:p>
            <w:pPr>
              <w:spacing w:after="0"/>
              <w:rPr>
                <w:sz w:val="5"/>
                <w:szCs w:val="5"/>
                <w:color w:val="auto"/>
              </w:rPr>
            </w:pP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06/11/2026</w:t>
            </w: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546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vMerge w:val="continue"/>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color w:val="0000FF"/>
              </w:rPr>
              <w:t>116,345</w:t>
            </w:r>
          </w:p>
        </w:tc>
        <w:tc>
          <w:tcPr>
            <w:tcW w:w="180" w:type="dxa"/>
            <w:vAlign w:val="bottom"/>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tcBorders>
              <w:right w:val="single" w:sz="8" w:color="2C2C2C"/>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46" w:lineRule="exact"/>
              <w:rPr>
                <w:sz w:val="20"/>
                <w:szCs w:val="20"/>
                <w:color w:val="auto"/>
              </w:rPr>
            </w:pPr>
            <w:r>
              <w:rPr>
                <w:rFonts w:ascii="Times New Roman" w:cs="Times New Roman" w:eastAsia="Times New Roman" w:hAnsi="Times New Roman"/>
                <w:sz w:val="13"/>
                <w:szCs w:val="13"/>
                <w:color w:val="0000FF"/>
              </w:rPr>
              <w:t>Investors V,</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right w:val="single" w:sz="8" w:color="2C2C2C"/>
            </w:tcBorders>
            <w:gridSpan w:val="3"/>
          </w:tcPr>
          <w:p>
            <w:pPr>
              <w:ind w:left="20"/>
              <w:spacing w:after="0" w:line="230"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44,367,144</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8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0"/>
                <w:szCs w:val="10"/>
                <w:color w:val="0000FF"/>
              </w:rPr>
              <w:t>44,367,144</w:t>
            </w:r>
          </w:p>
        </w:tc>
        <w:tc>
          <w:tcPr>
            <w:tcW w:w="180" w:type="dxa"/>
            <w:vAlign w:val="bottom"/>
          </w:tcPr>
          <w:p>
            <w:pPr>
              <w:spacing w:after="0"/>
              <w:rPr>
                <w:sz w:val="3"/>
                <w:szCs w:val="3"/>
                <w:color w:val="auto"/>
              </w:rPr>
            </w:pPr>
          </w:p>
        </w:tc>
        <w:tc>
          <w:tcPr>
            <w:tcW w:w="720" w:type="dxa"/>
            <w:vAlign w:val="bottom"/>
            <w:vMerge w:val="restart"/>
          </w:tcPr>
          <w:p>
            <w:pPr>
              <w:ind w:left="3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tcBorders>
              <w:right w:val="single" w:sz="8" w:color="2C2C2C"/>
            </w:tcBorders>
            <w:gridSpan w:val="3"/>
          </w:tcPr>
          <w:p>
            <w:pPr>
              <w:ind w:left="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5"/>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V,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-3957320</wp:posOffset>
            </wp:positionV>
            <wp:extent cx="28575" cy="2508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 cy="2508885"/>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type w:val="continuous"/>
        </w:sectPr>
      </w:pPr>
    </w:p>
    <w:bookmarkStart w:id="3" w:name="page4"/>
    <w:bookmarkEnd w:id="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6928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12415" cy="6928485"/>
                    </a:xfrm>
                    <a:prstGeom prst="rect">
                      <a:avLst/>
                    </a:prstGeom>
                    <a:noFill/>
                  </pic:spPr>
                </pic:pic>
              </a:graphicData>
            </a:graphic>
          </wp:anchor>
        </w:drawing>
      </w:r>
    </w:p>
    <w:p>
      <w:pPr>
        <w:spacing w:after="0"/>
        <w:tabs>
          <w:tab w:leader="none" w:pos="1480" w:val="left"/>
          <w:tab w:leader="none" w:pos="2900" w:val="left"/>
        </w:tabs>
        <w:rPr>
          <w:sz w:val="20"/>
          <w:szCs w:val="20"/>
          <w:color w:val="auto"/>
        </w:rPr>
      </w:pPr>
      <w:r>
        <w:rPr>
          <w:sz w:val="1"/>
          <w:szCs w:val="1"/>
          <w:color w:val="auto"/>
        </w:rPr>
        <w:drawing>
          <wp:inline distT="0" distB="0" distL="0" distR="0">
            <wp:extent cx="33655" cy="1803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655" cy="180340"/>
                    </a:xfrm>
                    <a:prstGeom prst="rect">
                      <a:avLst/>
                    </a:prstGeom>
                    <a:noFill/>
                    <a:ln>
                      <a:noFill/>
                    </a:ln>
                  </pic:spPr>
                </pic:pic>
              </a:graphicData>
            </a:graphic>
          </wp:inline>
        </w:drawing>
      </w:r>
      <w:r>
        <w:rPr>
          <w:rFonts w:ascii="Arial" w:cs="Arial" w:eastAsia="Arial" w:hAnsi="Arial"/>
          <w:sz w:val="13"/>
          <w:szCs w:val="13"/>
          <w:color w:val="auto"/>
        </w:rPr>
        <w:t xml:space="preserve"> (City)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Silver Lake Technology Associates V, L.P.</w:t>
        </w:r>
      </w:hyperlink>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SLTA V (GP),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Silver Lake Group,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4"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Durban Egon</w:t>
              </w:r>
            </w:hyperlink>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22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11, 2026.</w:t>
      </w:r>
    </w:p>
    <w:p>
      <w:pPr>
        <w:spacing w:after="0" w:line="21" w:lineRule="exact"/>
        <w:rPr>
          <w:rFonts w:ascii="Times New Roman" w:cs="Times New Roman" w:eastAsia="Times New Roman" w:hAnsi="Times New Roman"/>
          <w:sz w:val="13"/>
          <w:szCs w:val="13"/>
          <w:color w:val="008000"/>
        </w:rPr>
      </w:pPr>
    </w:p>
    <w:p>
      <w:pPr>
        <w:ind w:left="40" w:right="20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11, 2026, certain of the Reporting Persons converted shares of Class B Common Stock into an equal number of shares of Class C Common Stock in connection with the sales described in footnote (1) above.</w:t>
      </w:r>
    </w:p>
    <w:p>
      <w:pPr>
        <w:spacing w:after="0" w:line="26" w:lineRule="exact"/>
        <w:rPr>
          <w:rFonts w:ascii="Times New Roman" w:cs="Times New Roman" w:eastAsia="Times New Roman" w:hAnsi="Times New Roman"/>
          <w:sz w:val="13"/>
          <w:szCs w:val="13"/>
          <w:color w:val="008000"/>
        </w:rPr>
      </w:pPr>
    </w:p>
    <w:p>
      <w:pPr>
        <w:ind w:left="40" w:right="2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V, L.P. The general partner of Silver Lake Technology Investors V, L.P. is Silver Lake Technology Associates V, L.P. and the general partner of Silver Lake Technology Associates V, L.P. is SLTA V (GP), L.L.C.</w:t>
      </w:r>
    </w:p>
    <w:p>
      <w:pPr>
        <w:spacing w:after="0" w:line="21" w:lineRule="exact"/>
        <w:rPr>
          <w:rFonts w:ascii="Times New Roman" w:cs="Times New Roman" w:eastAsia="Times New Roman" w:hAnsi="Times New Roman"/>
          <w:sz w:val="13"/>
          <w:szCs w:val="13"/>
          <w:color w:val="008000"/>
        </w:rPr>
      </w:pPr>
    </w:p>
    <w:p>
      <w:pPr>
        <w:ind w:left="40" w:right="28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w:t>
      </w:r>
    </w:p>
    <w:p>
      <w:pPr>
        <w:spacing w:after="0" w:line="39" w:lineRule="exact"/>
        <w:rPr>
          <w:rFonts w:ascii="Times New Roman" w:cs="Times New Roman" w:eastAsia="Times New Roman" w:hAnsi="Times New Roman"/>
          <w:sz w:val="13"/>
          <w:szCs w:val="13"/>
          <w:color w:val="008000"/>
        </w:rPr>
      </w:pPr>
    </w:p>
    <w:p>
      <w:pPr>
        <w:ind w:left="40" w:right="12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Durban.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39" w:lineRule="exact"/>
        <w:rPr>
          <w:rFonts w:ascii="Times New Roman" w:cs="Times New Roman" w:eastAsia="Times New Roman" w:hAnsi="Times New Roman"/>
          <w:sz w:val="13"/>
          <w:szCs w:val="13"/>
          <w:color w:val="008000"/>
        </w:rPr>
      </w:pP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$370.0200 to $370.9800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$371.0400 to $372.0100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$372.1500 to $373.1400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$373.1600 to $374.1000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$374.1694 to $375.1327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$375.1660 to $376.1511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$376.1600 to $377.1400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$377.1800 to $378.1700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5"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$378.1800 to $379.1700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916" w:orient="portrait"/>
          <w:cols w:equalWidth="0" w:num="1">
            <w:col w:w="10940"/>
          </w:cols>
          <w:pgMar w:left="460" w:top="112" w:right="499" w:bottom="0" w:gutter="0" w:footer="0" w:header="0"/>
        </w:sectPr>
      </w:pPr>
    </w:p>
    <w:bookmarkStart w:id="4" w:name="page5"/>
    <w:bookmarkEnd w:id="4"/>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$379.1800 to $380.1700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$380.1800 to $381.1700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$381.2300 to $382.1900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$382.3202 to $383.2600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$383.3237 to $384.2997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$384.3500 to $385.2900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$385.3575 to $386.3472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$386.4424 to $387.2898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$387.4900 to $388.4719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$388.5200 to $389.5000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$389.5700 to $390.5687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$390.6224 to $391.0650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jc w:val="both"/>
        <w:ind w:left="2" w:right="12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75,341 shares of Class C Common Stock, Silver Lake Partners IV, L.P. directly holds 57,380 shares of Class C Common Stock, Silver Lake Partners V DE (AIV), L.P. directly holds 42,290 shares of Class C Common Stock, and Silver Lake Technology Investors IV, L.P. directly holds 0 shares of Class C Common Stock, which securities and transactions are reported on separate Form 4 filings.</w:t>
      </w:r>
    </w:p>
    <w:p>
      <w:pPr>
        <w:spacing w:after="0" w:line="26" w:lineRule="exact"/>
        <w:rPr>
          <w:rFonts w:ascii="Times New Roman" w:cs="Times New Roman" w:eastAsia="Times New Roman" w:hAnsi="Times New Roman"/>
          <w:sz w:val="13"/>
          <w:szCs w:val="13"/>
          <w:color w:val="008000"/>
        </w:rPr>
      </w:pPr>
    </w:p>
    <w:p>
      <w:pPr>
        <w:jc w:val="both"/>
        <w:ind w:left="2"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17,081,865 shares of Class B Common Stock, Silver Lake Partners IV, L.P. directly holds 17,535,391 shares of Class B Common Stock, Silver Lake Partners V DE (AIV), L.P. directly holds 9,491,885 shares of Class B Common Stock, and Silver Lake Technology Investors IV, L.P. directly holds 258,003 shares of Class B Common Stock, which securities and transactions are reported on separate Form 4 filings.</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right="160"/>
        <w:spacing w:after="0" w:line="255"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902"/>
          </w:cols>
          <w:pgMar w:left="498" w:top="139" w:right="499" w:bottom="1440" w:gutter="0" w:footer="0" w:header="0"/>
        </w:sectPr>
      </w:pPr>
    </w:p>
    <w:p>
      <w:pPr>
        <w:spacing w:after="0" w:line="42"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750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077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055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 gen.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290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Technology Investors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963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750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37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055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61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750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2736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5911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661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311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662" w:space="100"/>
            <w:col w:w="2140"/>
          </w:cols>
          <w:pgMar w:left="498" w:top="139" w:right="499" w:bottom="1440" w:gutter="0" w:footer="0" w:header="0"/>
          <w:type w:val="continuous"/>
        </w:sect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2"/>
      </w:cols>
      <w:pgMar w:left="498" w:top="13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13" Type="http://schemas.openxmlformats.org/officeDocument/2006/relationships/hyperlink" Target="http://www.sec.gov/cgi-bin/browse-edgar?action=getcompany&amp;CIK=0001735863" TargetMode="External"/><Relationship Id="rId14" Type="http://schemas.openxmlformats.org/officeDocument/2006/relationships/hyperlink" Target="http://www.sec.gov/cgi-bin/browse-edgar?action=getcompany&amp;CIK=0001571996" TargetMode="External"/><Relationship Id="rId20" Type="http://schemas.openxmlformats.org/officeDocument/2006/relationships/hyperlink" Target="http://www.sec.gov/cgi-bin/browse-edgar?action=getcompany&amp;CIK=0001737657" TargetMode="External"/><Relationship Id="rId21" Type="http://schemas.openxmlformats.org/officeDocument/2006/relationships/hyperlink" Target="http://www.sec.gov/cgi-bin/browse-edgar?action=getcompany&amp;CIK=0001737652" TargetMode="External"/><Relationship Id="rId22" Type="http://schemas.openxmlformats.org/officeDocument/2006/relationships/hyperlink" Target="http://www.sec.gov/cgi-bin/browse-edgar?action=getcompany&amp;CIK=0001418226" TargetMode="External"/><Relationship Id="rId23"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2026-06-15T17:10:43Z</dcterms:created>
  <dcterms:modified xsi:type="dcterms:W3CDTF">2026-06-15T17:10:43Z</dcterms:modified>
</cp:coreProperties>
</file>