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SCHEDULE 13G</w:t>
      </w:r>
    </w:p>
    <w:p>
      <w:pPr>
        <w:spacing w:after="0" w:line="131" w:lineRule="exact"/>
        <w:rPr>
          <w:sz w:val="24"/>
          <w:szCs w:val="24"/>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143510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2"/>
          <w:szCs w:val="22"/>
          <w:b w:val="1"/>
          <w:bCs w:val="1"/>
          <w:color w:val="auto"/>
        </w:rPr>
        <w:t>(Amendment No.</w:t>
        <w:tab/>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Dell Technologies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C 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24703L202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15, 2019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Rule 13d-1(d)</w:t>
      </w:r>
    </w:p>
    <w:p>
      <w:pPr>
        <w:spacing w:after="0" w:line="258" w:lineRule="exact"/>
        <w:rPr>
          <w:sz w:val="24"/>
          <w:szCs w:val="24"/>
          <w:color w:val="auto"/>
        </w:rPr>
      </w:pPr>
    </w:p>
    <w:p>
      <w:pPr>
        <w:ind w:right="60" w:firstLine="4"/>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2 of 7 Pages</w:t>
      </w:r>
    </w:p>
    <w:p>
      <w:pPr>
        <w:spacing w:after="0" w:line="266" w:lineRule="exact"/>
        <w:rPr>
          <w:sz w:val="20"/>
          <w:szCs w:val="20"/>
          <w:color w:val="auto"/>
        </w:rPr>
      </w:pPr>
    </w:p>
    <w:p>
      <w:pPr>
        <w:ind w:left="980" w:hanging="7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360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36003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GIC Private Limited</w:t>
      </w:r>
    </w:p>
    <w:p>
      <w:pPr>
        <w:spacing w:after="0" w:line="36" w:lineRule="exact"/>
        <w:rPr>
          <w:sz w:val="20"/>
          <w:szCs w:val="20"/>
          <w:color w:val="auto"/>
        </w:rPr>
      </w:pPr>
    </w:p>
    <w:p>
      <w:pPr>
        <w:ind w:left="980" w:hanging="7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80"/>
        <w:spacing w:after="0" w:line="207" w:lineRule="exact"/>
        <w:tabs>
          <w:tab w:leader="none" w:pos="17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980" w:hanging="7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740"/>
        <w:spacing w:after="0"/>
        <w:tabs>
          <w:tab w:leader="none" w:pos="19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40" w:type="dxa"/>
            <w:vAlign w:val="bottom"/>
          </w:tcPr>
          <w:p>
            <w:pPr>
              <w:spacing w:after="0"/>
              <w:rPr>
                <w:sz w:val="24"/>
                <w:szCs w:val="24"/>
                <w:color w:val="auto"/>
              </w:rPr>
            </w:pPr>
          </w:p>
        </w:tc>
        <w:tc>
          <w:tcPr>
            <w:tcW w:w="1280" w:type="dxa"/>
            <w:vAlign w:val="bottom"/>
            <w:gridSpan w:val="2"/>
            <w:vMerge w:val="restart"/>
          </w:tcPr>
          <w:p>
            <w:pPr>
              <w:jc w:val="center"/>
              <w:ind w:right="103"/>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3,397,304</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4"/>
              </w:rPr>
              <w:t>SHARES</w:t>
            </w:r>
          </w:p>
        </w:tc>
        <w:tc>
          <w:tcPr>
            <w:tcW w:w="2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120" w:type="dxa"/>
            <w:vAlign w:val="bottom"/>
            <w:vMerge w:val="restart"/>
          </w:tcPr>
          <w:p>
            <w:pPr>
              <w:ind w:left="80"/>
              <w:spacing w:after="0"/>
              <w:rPr>
                <w:sz w:val="20"/>
                <w:szCs w:val="20"/>
                <w:color w:val="auto"/>
              </w:rPr>
            </w:pPr>
            <w:r>
              <w:rPr>
                <w:rFonts w:ascii="Arial" w:cs="Arial" w:eastAsia="Arial" w:hAnsi="Arial"/>
                <w:sz w:val="22"/>
                <w:szCs w:val="22"/>
                <w:color w:val="auto"/>
              </w:rPr>
              <w:t>5,686,257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280" w:type="dxa"/>
            <w:vAlign w:val="bottom"/>
            <w:gridSpan w:val="2"/>
          </w:tcPr>
          <w:p>
            <w:pPr>
              <w:jc w:val="center"/>
              <w:ind w:right="123"/>
              <w:spacing w:after="0" w:line="182" w:lineRule="exact"/>
              <w:rPr>
                <w:sz w:val="20"/>
                <w:szCs w:val="20"/>
                <w:color w:val="auto"/>
              </w:rPr>
            </w:pPr>
            <w:r>
              <w:rPr>
                <w:rFonts w:ascii="Arial" w:cs="Arial" w:eastAsia="Arial" w:hAnsi="Arial"/>
                <w:sz w:val="18"/>
                <w:szCs w:val="18"/>
                <w:color w:val="auto"/>
                <w:w w:val="99"/>
              </w:rPr>
              <w:t>EACH</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280" w:type="dxa"/>
            <w:vAlign w:val="bottom"/>
            <w:gridSpan w:val="2"/>
          </w:tcPr>
          <w:p>
            <w:pPr>
              <w:jc w:val="center"/>
              <w:ind w:right="123"/>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21"/>
                <w:szCs w:val="21"/>
                <w:color w:val="auto"/>
              </w:rPr>
            </w:pPr>
          </w:p>
        </w:tc>
        <w:tc>
          <w:tcPr>
            <w:tcW w:w="9120" w:type="dxa"/>
            <w:vAlign w:val="bottom"/>
          </w:tcPr>
          <w:p>
            <w:pPr>
              <w:ind w:left="80"/>
              <w:spacing w:after="0" w:line="244" w:lineRule="exact"/>
              <w:rPr>
                <w:sz w:val="20"/>
                <w:szCs w:val="20"/>
                <w:color w:val="auto"/>
              </w:rPr>
            </w:pPr>
            <w:r>
              <w:rPr>
                <w:rFonts w:ascii="Arial" w:cs="Arial" w:eastAsia="Arial" w:hAnsi="Arial"/>
                <w:sz w:val="22"/>
                <w:szCs w:val="22"/>
                <w:color w:val="auto"/>
              </w:rPr>
              <w:t>3,397,304</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5,686,257</w:t>
            </w: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3"/>
              </w:rPr>
              <w:t>9,083,561</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10</w:t>
            </w:r>
          </w:p>
        </w:tc>
        <w:tc>
          <w:tcPr>
            <w:tcW w:w="540" w:type="dxa"/>
            <w:vAlign w:val="bottom"/>
            <w:tcBorders>
              <w:right w:val="single" w:sz="8" w:color="auto"/>
            </w:tcBorders>
          </w:tcPr>
          <w:p>
            <w:pPr>
              <w:spacing w:after="0"/>
              <w:rPr>
                <w:sz w:val="17"/>
                <w:szCs w:val="17"/>
                <w:color w:val="auto"/>
              </w:rPr>
            </w:pPr>
          </w:p>
        </w:tc>
        <w:tc>
          <w:tcPr>
            <w:tcW w:w="10140" w:type="dxa"/>
            <w:vAlign w:val="bottom"/>
            <w:gridSpan w:val="3"/>
          </w:tcPr>
          <w:p>
            <w:pPr>
              <w:ind w:left="80"/>
              <w:spacing w:after="0" w:line="19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1014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5.25% </w:t>
            </w:r>
            <w:r>
              <w:rPr>
                <w:rFonts w:ascii="Arial" w:cs="Arial" w:eastAsia="Arial" w:hAnsi="Arial"/>
                <w:sz w:val="18"/>
                <w:szCs w:val="18"/>
                <w:color w:val="auto"/>
              </w:rPr>
              <w:t>(1)</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63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ind w:right="120" w:firstLine="4"/>
        <w:spacing w:after="0" w:line="277" w:lineRule="auto"/>
        <w:tabs>
          <w:tab w:leader="none" w:pos="223" w:val="left"/>
        </w:tabs>
        <w:numPr>
          <w:ilvl w:val="0"/>
          <w:numId w:val="8"/>
        </w:numPr>
        <w:rPr>
          <w:rFonts w:ascii="Arial" w:cs="Arial" w:eastAsia="Arial" w:hAnsi="Arial"/>
          <w:sz w:val="15"/>
          <w:szCs w:val="15"/>
          <w:color w:val="auto"/>
        </w:rPr>
      </w:pPr>
      <w:r>
        <w:rPr>
          <w:rFonts w:ascii="Arial" w:cs="Arial" w:eastAsia="Arial" w:hAnsi="Arial"/>
          <w:sz w:val="18"/>
          <w:szCs w:val="18"/>
          <w:color w:val="auto"/>
        </w:rPr>
        <w:t>Based on 173,096,985 Class C Common Shares outstanding as of July 9, 2019, according to the Form 8-K filed by the Issuer with the Securities and Exchange Commission on July 11, 2019.</w:t>
      </w:r>
    </w:p>
    <w:p>
      <w:pPr>
        <w:sectPr>
          <w:pgSz w:w="11900" w:h="16838" w:orient="portrait"/>
          <w:cols w:equalWidth="0" w:num="1">
            <w:col w:w="11040"/>
          </w:cols>
          <w:pgMar w:left="440" w:top="274"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3 of 7 Pages</w:t>
      </w:r>
    </w:p>
    <w:p>
      <w:pPr>
        <w:spacing w:after="0" w:line="266" w:lineRule="exact"/>
        <w:rPr>
          <w:sz w:val="20"/>
          <w:szCs w:val="20"/>
          <w:color w:val="auto"/>
        </w:rPr>
      </w:pPr>
    </w:p>
    <w:p>
      <w:pPr>
        <w:ind w:left="980" w:hanging="7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360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6590" cy="536003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GIC Special Investments Private Limited</w:t>
      </w:r>
    </w:p>
    <w:p>
      <w:pPr>
        <w:spacing w:after="0" w:line="36" w:lineRule="exact"/>
        <w:rPr>
          <w:sz w:val="20"/>
          <w:szCs w:val="20"/>
          <w:color w:val="auto"/>
        </w:rPr>
      </w:pPr>
    </w:p>
    <w:p>
      <w:pPr>
        <w:ind w:left="980" w:hanging="7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80"/>
        <w:spacing w:after="0" w:line="207" w:lineRule="exact"/>
        <w:tabs>
          <w:tab w:leader="none" w:pos="17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980" w:hanging="7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740"/>
        <w:spacing w:after="0"/>
        <w:tabs>
          <w:tab w:leader="none" w:pos="19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40" w:type="dxa"/>
            <w:vAlign w:val="bottom"/>
          </w:tcPr>
          <w:p>
            <w:pPr>
              <w:spacing w:after="0"/>
              <w:rPr>
                <w:sz w:val="24"/>
                <w:szCs w:val="24"/>
                <w:color w:val="auto"/>
              </w:rPr>
            </w:pPr>
          </w:p>
        </w:tc>
        <w:tc>
          <w:tcPr>
            <w:tcW w:w="1280" w:type="dxa"/>
            <w:vAlign w:val="bottom"/>
            <w:gridSpan w:val="2"/>
            <w:vMerge w:val="restart"/>
          </w:tcPr>
          <w:p>
            <w:pPr>
              <w:jc w:val="center"/>
              <w:ind w:right="103"/>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4"/>
              </w:rPr>
              <w:t>SHARES</w:t>
            </w:r>
          </w:p>
        </w:tc>
        <w:tc>
          <w:tcPr>
            <w:tcW w:w="2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120" w:type="dxa"/>
            <w:vAlign w:val="bottom"/>
            <w:vMerge w:val="restart"/>
          </w:tcPr>
          <w:p>
            <w:pPr>
              <w:ind w:left="80"/>
              <w:spacing w:after="0"/>
              <w:rPr>
                <w:sz w:val="20"/>
                <w:szCs w:val="20"/>
                <w:color w:val="auto"/>
              </w:rPr>
            </w:pPr>
            <w:r>
              <w:rPr>
                <w:rFonts w:ascii="Arial" w:cs="Arial" w:eastAsia="Arial" w:hAnsi="Arial"/>
                <w:sz w:val="22"/>
                <w:szCs w:val="22"/>
                <w:color w:val="auto"/>
              </w:rPr>
              <w:t>5,073,580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280" w:type="dxa"/>
            <w:vAlign w:val="bottom"/>
            <w:gridSpan w:val="2"/>
          </w:tcPr>
          <w:p>
            <w:pPr>
              <w:jc w:val="center"/>
              <w:ind w:right="123"/>
              <w:spacing w:after="0" w:line="182" w:lineRule="exact"/>
              <w:rPr>
                <w:sz w:val="20"/>
                <w:szCs w:val="20"/>
                <w:color w:val="auto"/>
              </w:rPr>
            </w:pPr>
            <w:r>
              <w:rPr>
                <w:rFonts w:ascii="Arial" w:cs="Arial" w:eastAsia="Arial" w:hAnsi="Arial"/>
                <w:sz w:val="18"/>
                <w:szCs w:val="18"/>
                <w:color w:val="auto"/>
                <w:w w:val="99"/>
              </w:rPr>
              <w:t>EACH</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280" w:type="dxa"/>
            <w:vAlign w:val="bottom"/>
            <w:gridSpan w:val="2"/>
          </w:tcPr>
          <w:p>
            <w:pPr>
              <w:jc w:val="center"/>
              <w:ind w:right="123"/>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20"/>
                <w:szCs w:val="20"/>
                <w:color w:val="auto"/>
              </w:rPr>
            </w:pPr>
          </w:p>
        </w:tc>
        <w:tc>
          <w:tcPr>
            <w:tcW w:w="912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6"/>
                <w:szCs w:val="6"/>
                <w:color w:val="auto"/>
              </w:rPr>
            </w:pPr>
          </w:p>
        </w:tc>
        <w:tc>
          <w:tcPr>
            <w:tcW w:w="9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5,073,580</w:t>
            </w: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3"/>
              </w:rPr>
              <w:t>5,073,580</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10</w:t>
            </w:r>
          </w:p>
        </w:tc>
        <w:tc>
          <w:tcPr>
            <w:tcW w:w="540" w:type="dxa"/>
            <w:vAlign w:val="bottom"/>
            <w:tcBorders>
              <w:right w:val="single" w:sz="8" w:color="auto"/>
            </w:tcBorders>
          </w:tcPr>
          <w:p>
            <w:pPr>
              <w:spacing w:after="0"/>
              <w:rPr>
                <w:sz w:val="17"/>
                <w:szCs w:val="17"/>
                <w:color w:val="auto"/>
              </w:rPr>
            </w:pPr>
          </w:p>
        </w:tc>
        <w:tc>
          <w:tcPr>
            <w:tcW w:w="10140" w:type="dxa"/>
            <w:vAlign w:val="bottom"/>
            <w:gridSpan w:val="3"/>
          </w:tcPr>
          <w:p>
            <w:pPr>
              <w:ind w:left="80"/>
              <w:spacing w:after="0" w:line="19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1014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2.93% </w:t>
            </w:r>
            <w:r>
              <w:rPr>
                <w:rFonts w:ascii="Arial" w:cs="Arial" w:eastAsia="Arial" w:hAnsi="Arial"/>
                <w:sz w:val="18"/>
                <w:szCs w:val="18"/>
                <w:color w:val="auto"/>
              </w:rPr>
              <w:t>(1)</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63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ind w:right="120" w:firstLine="4"/>
        <w:spacing w:after="0" w:line="277" w:lineRule="auto"/>
        <w:tabs>
          <w:tab w:leader="none" w:pos="223"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173,096,985 Class C Common Shares outstanding as of July 9, 2019, according to the Form 8-K filed by the Issuer with the Securities and Exchange Commission on July 11, 2019.</w:t>
      </w:r>
    </w:p>
    <w:p>
      <w:pPr>
        <w:sectPr>
          <w:pgSz w:w="11900" w:h="16838" w:orient="portrait"/>
          <w:cols w:equalWidth="0" w:num="1">
            <w:col w:w="11040"/>
          </w:cols>
          <w:pgMar w:left="440" w:top="274" w:right="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4 of 7 Pages</w:t>
      </w:r>
    </w:p>
    <w:p>
      <w:pPr>
        <w:spacing w:after="0" w:line="266" w:lineRule="exact"/>
        <w:rPr>
          <w:sz w:val="20"/>
          <w:szCs w:val="20"/>
          <w:color w:val="auto"/>
        </w:rPr>
      </w:pPr>
    </w:p>
    <w:p>
      <w:pPr>
        <w:ind w:left="980" w:hanging="7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360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536003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Onset Investment Private Limited</w:t>
      </w:r>
    </w:p>
    <w:p>
      <w:pPr>
        <w:spacing w:after="0" w:line="36" w:lineRule="exact"/>
        <w:rPr>
          <w:sz w:val="20"/>
          <w:szCs w:val="20"/>
          <w:color w:val="auto"/>
        </w:rPr>
      </w:pPr>
    </w:p>
    <w:p>
      <w:pPr>
        <w:ind w:left="980" w:hanging="7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80"/>
        <w:spacing w:after="0" w:line="207" w:lineRule="exact"/>
        <w:tabs>
          <w:tab w:leader="none" w:pos="17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980" w:hanging="7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740"/>
        <w:spacing w:after="0"/>
        <w:tabs>
          <w:tab w:leader="none" w:pos="19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40" w:type="dxa"/>
            <w:vAlign w:val="bottom"/>
          </w:tcPr>
          <w:p>
            <w:pPr>
              <w:spacing w:after="0"/>
              <w:rPr>
                <w:sz w:val="24"/>
                <w:szCs w:val="24"/>
                <w:color w:val="auto"/>
              </w:rPr>
            </w:pPr>
          </w:p>
        </w:tc>
        <w:tc>
          <w:tcPr>
            <w:tcW w:w="1280" w:type="dxa"/>
            <w:vAlign w:val="bottom"/>
            <w:gridSpan w:val="2"/>
            <w:vMerge w:val="restart"/>
          </w:tcPr>
          <w:p>
            <w:pPr>
              <w:jc w:val="center"/>
              <w:ind w:right="103"/>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4"/>
              </w:rPr>
              <w:t>SHARES</w:t>
            </w:r>
          </w:p>
        </w:tc>
        <w:tc>
          <w:tcPr>
            <w:tcW w:w="2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120" w:type="dxa"/>
            <w:vAlign w:val="bottom"/>
            <w:vMerge w:val="restart"/>
          </w:tcPr>
          <w:p>
            <w:pPr>
              <w:ind w:left="80"/>
              <w:spacing w:after="0"/>
              <w:rPr>
                <w:sz w:val="20"/>
                <w:szCs w:val="20"/>
                <w:color w:val="auto"/>
              </w:rPr>
            </w:pPr>
            <w:r>
              <w:rPr>
                <w:rFonts w:ascii="Arial" w:cs="Arial" w:eastAsia="Arial" w:hAnsi="Arial"/>
                <w:sz w:val="22"/>
                <w:szCs w:val="22"/>
                <w:color w:val="auto"/>
              </w:rPr>
              <w:t>5,073,580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280" w:type="dxa"/>
            <w:vAlign w:val="bottom"/>
            <w:gridSpan w:val="2"/>
          </w:tcPr>
          <w:p>
            <w:pPr>
              <w:jc w:val="center"/>
              <w:ind w:right="123"/>
              <w:spacing w:after="0" w:line="182" w:lineRule="exact"/>
              <w:rPr>
                <w:sz w:val="20"/>
                <w:szCs w:val="20"/>
                <w:color w:val="auto"/>
              </w:rPr>
            </w:pPr>
            <w:r>
              <w:rPr>
                <w:rFonts w:ascii="Arial" w:cs="Arial" w:eastAsia="Arial" w:hAnsi="Arial"/>
                <w:sz w:val="18"/>
                <w:szCs w:val="18"/>
                <w:color w:val="auto"/>
                <w:w w:val="99"/>
              </w:rPr>
              <w:t>EACH</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gridSpan w:val="2"/>
          </w:tcPr>
          <w:p>
            <w:pPr>
              <w:jc w:val="center"/>
              <w:ind w:right="103"/>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280" w:type="dxa"/>
            <w:vAlign w:val="bottom"/>
            <w:gridSpan w:val="2"/>
          </w:tcPr>
          <w:p>
            <w:pPr>
              <w:jc w:val="center"/>
              <w:ind w:right="123"/>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20"/>
                <w:szCs w:val="20"/>
                <w:color w:val="auto"/>
              </w:rPr>
            </w:pPr>
          </w:p>
        </w:tc>
        <w:tc>
          <w:tcPr>
            <w:tcW w:w="9120" w:type="dxa"/>
            <w:vAlign w:val="bottom"/>
          </w:tcPr>
          <w:p>
            <w:pPr>
              <w:ind w:left="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1280" w:type="dxa"/>
            <w:vAlign w:val="bottom"/>
            <w:gridSpan w:val="2"/>
            <w:vMerge w:val="restart"/>
          </w:tcPr>
          <w:p>
            <w:pPr>
              <w:jc w:val="center"/>
              <w:ind w:right="123"/>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6"/>
                <w:szCs w:val="6"/>
                <w:color w:val="auto"/>
              </w:rPr>
            </w:pPr>
          </w:p>
        </w:tc>
        <w:tc>
          <w:tcPr>
            <w:tcW w:w="9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5,073,580</w:t>
            </w: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3"/>
              </w:rPr>
              <w:t>5,073,580</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10</w:t>
            </w:r>
          </w:p>
        </w:tc>
        <w:tc>
          <w:tcPr>
            <w:tcW w:w="540" w:type="dxa"/>
            <w:vAlign w:val="bottom"/>
            <w:tcBorders>
              <w:right w:val="single" w:sz="8" w:color="auto"/>
            </w:tcBorders>
          </w:tcPr>
          <w:p>
            <w:pPr>
              <w:spacing w:after="0"/>
              <w:rPr>
                <w:sz w:val="17"/>
                <w:szCs w:val="17"/>
                <w:color w:val="auto"/>
              </w:rPr>
            </w:pPr>
          </w:p>
        </w:tc>
        <w:tc>
          <w:tcPr>
            <w:tcW w:w="10140" w:type="dxa"/>
            <w:vAlign w:val="bottom"/>
            <w:gridSpan w:val="3"/>
          </w:tcPr>
          <w:p>
            <w:pPr>
              <w:ind w:left="80"/>
              <w:spacing w:after="0" w:line="19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1014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2.93% </w:t>
            </w:r>
            <w:r>
              <w:rPr>
                <w:rFonts w:ascii="Arial" w:cs="Arial" w:eastAsia="Arial" w:hAnsi="Arial"/>
                <w:sz w:val="18"/>
                <w:szCs w:val="18"/>
                <w:color w:val="auto"/>
              </w:rPr>
              <w:t>(1)</w:t>
            </w: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9"/>
                <w:szCs w:val="19"/>
                <w:color w:val="auto"/>
              </w:rPr>
            </w:pPr>
          </w:p>
        </w:tc>
        <w:tc>
          <w:tcPr>
            <w:tcW w:w="10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2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ind w:right="120" w:firstLine="4"/>
        <w:spacing w:after="0" w:line="277" w:lineRule="auto"/>
        <w:tabs>
          <w:tab w:leader="none" w:pos="223" w:val="left"/>
        </w:tabs>
        <w:numPr>
          <w:ilvl w:val="0"/>
          <w:numId w:val="18"/>
        </w:numPr>
        <w:rPr>
          <w:rFonts w:ascii="Arial" w:cs="Arial" w:eastAsia="Arial" w:hAnsi="Arial"/>
          <w:sz w:val="15"/>
          <w:szCs w:val="15"/>
          <w:color w:val="auto"/>
        </w:rPr>
      </w:pPr>
      <w:r>
        <w:rPr>
          <w:rFonts w:ascii="Arial" w:cs="Arial" w:eastAsia="Arial" w:hAnsi="Arial"/>
          <w:sz w:val="18"/>
          <w:szCs w:val="18"/>
          <w:color w:val="auto"/>
        </w:rPr>
        <w:t>Based on 173,096,985 Class C Common Shares outstanding as of July 9, 2019, according to the Form 8-K filed by the Issuer with the Securities and Exchange Commission on July 11, 2019.</w:t>
      </w:r>
    </w:p>
    <w:p>
      <w:pPr>
        <w:sectPr>
          <w:pgSz w:w="11900" w:h="16838" w:orient="portrait"/>
          <w:cols w:equalWidth="0" w:num="1">
            <w:col w:w="11040"/>
          </w:cols>
          <w:pgMar w:left="440" w:top="274"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5 of 7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GIC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GIC Special Investments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Onset Investment Private Limited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GIC Private Limited – Republic of 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GIC Special Investments Private Limited – Republic of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Onset Investment Private Limited – Republic of Singapore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C Common Stock, par value $0.01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24703L202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3 If this statement in filed pursuant to §§240.13d-1(b), or 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Ownership information with respect to GIC Private Limited, GIC Special Investments Private Limited and Onset Investment Private Limited are incorporated by reference through items (5) through (9) and (11) of the cover page for each entity.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Onset Investment Private Limited shares the power to vote and the power to dispose of 5,073,580 Class C shares held directly by it with GIC Special Investments Private Limited and GIC Private Limited. GIC Special Investments Private Limited is wholly owned by GIC Private Limited and is the private equity investment arm of GIC Private Limited.</w:t>
      </w:r>
    </w:p>
    <w:p>
      <w:pPr>
        <w:sectPr>
          <w:pgSz w:w="11900" w:h="16838" w:orient="portrait"/>
          <w:cols w:equalWidth="0" w:num="1">
            <w:col w:w="11020"/>
          </w:cols>
          <w:pgMar w:left="440" w:top="27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6 of 7 Pages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GIC Private Limited is a fund manager and only has two clients – the Government of Singapore (“GoS”) and the Monetary Authority of Singapore (“MAS”). Under the investment management agreement with GoS, GIC Private Limited has been given the sole discretion to exercise the voting rights attached to, and the disposition of, any shares managed on behalf of GoS. As such, GIC Private Limited has the sole power to vote and power to dispose of the 3,397,304 Class C Shares beneficially owned by it. GIC Private Limited shares power to vote and dispose of 612,677 Class C Shares beneficially owned by it with MAS.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34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24703L202</w:t>
      </w:r>
      <w:r>
        <w:rPr>
          <w:sz w:val="20"/>
          <w:szCs w:val="20"/>
          <w:color w:val="auto"/>
        </w:rPr>
        <w:tab/>
      </w:r>
      <w:r>
        <w:rPr>
          <w:rFonts w:ascii="Arial" w:cs="Arial" w:eastAsia="Arial" w:hAnsi="Arial"/>
          <w:sz w:val="15"/>
          <w:szCs w:val="15"/>
          <w:color w:val="auto"/>
        </w:rPr>
        <w:t>Page 7 of 7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of July 23, 2019.</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Celine Loh Sze Ling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Celine Loh Sze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5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Toh Tze Meng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Toh Tze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Senior Vice President</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SPECIAL INVESTMENTS PRIVATE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Chan Hoe Yin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Chan Hoe 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Director</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ONSET INVESTMENT PRIVATE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Ankur Meattle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Ankur Meattle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3"/>
      <w:numFmt w:val="bullet"/>
      <w:start w:val="1"/>
    </w:lvl>
  </w:abstractNum>
  <w:abstractNum w:abstractNumId="16">
    <w:nsid w:val="519B500D"/>
    <w:multiLevelType w:val="hybridMultilevel"/>
    <w:lvl w:ilvl="0">
      <w:lvlJc w:val="left"/>
      <w:lvlText w:val="4"/>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2019-11-30T20:56:18Z</dcterms:created>
  <dcterms:modified xsi:type="dcterms:W3CDTF">2019-11-30T20:56:18Z</dcterms:modified>
</cp:coreProperties>
</file>