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Pivotal Software,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72582H107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00" w:hanging="215"/>
        <w:spacing w:after="0"/>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00" w:hanging="215"/>
        <w:spacing w:after="0"/>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00" w:hanging="215"/>
        <w:spacing w:after="0"/>
        <w:tabs>
          <w:tab w:leader="none" w:pos="11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72582H107</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1</w:t>
            </w:r>
          </w:p>
        </w:tc>
        <w:tc>
          <w:tcPr>
            <w:tcW w:w="3000" w:type="dxa"/>
            <w:vAlign w:val="bottom"/>
          </w:tcPr>
          <w:p>
            <w:pPr>
              <w:ind w:left="220"/>
              <w:spacing w:after="0"/>
              <w:rPr>
                <w:sz w:val="20"/>
                <w:szCs w:val="20"/>
                <w:color w:val="auto"/>
              </w:rPr>
            </w:pPr>
            <w:r>
              <w:rPr>
                <w:rFonts w:ascii="Arial" w:cs="Arial" w:eastAsia="Arial" w:hAnsi="Arial"/>
                <w:sz w:val="18"/>
                <w:szCs w:val="18"/>
                <w:color w:val="auto"/>
                <w:w w:val="92"/>
              </w:rPr>
              <w:t>NAMES OF REPORTING PERSONS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006590" cy="5548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548630"/>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Michael S. Dell</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3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3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3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8"/>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4"/>
              </w:rPr>
              <w:t>SHARES</w:t>
            </w:r>
          </w:p>
        </w:tc>
        <w:tc>
          <w:tcPr>
            <w:tcW w:w="260" w:type="dxa"/>
            <w:vAlign w:val="bottom"/>
            <w:tcBorders>
              <w:right w:val="single" w:sz="8" w:color="auto"/>
            </w:tcBorders>
            <w:vMerge w:val="continue"/>
          </w:tcPr>
          <w:p>
            <w:pPr>
              <w:spacing w:after="0"/>
              <w:rPr>
                <w:sz w:val="15"/>
                <w:szCs w:val="15"/>
                <w:color w:val="auto"/>
              </w:rPr>
            </w:pPr>
          </w:p>
        </w:tc>
        <w:tc>
          <w:tcPr>
            <w:tcW w:w="9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8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9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60" w:type="dxa"/>
            <w:vAlign w:val="bottom"/>
            <w:tcBorders>
              <w:right w:val="single" w:sz="8" w:color="auto"/>
            </w:tcBorders>
          </w:tcPr>
          <w:p>
            <w:pPr>
              <w:spacing w:after="0"/>
              <w:rPr>
                <w:sz w:val="18"/>
                <w:szCs w:val="18"/>
                <w:color w:val="auto"/>
              </w:rPr>
            </w:pPr>
          </w:p>
        </w:tc>
        <w:tc>
          <w:tcPr>
            <w:tcW w:w="9340" w:type="dxa"/>
            <w:vAlign w:val="bottom"/>
            <w:vMerge w:val="restart"/>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63"/>
              <w:spacing w:after="0" w:line="182" w:lineRule="exact"/>
              <w:rPr>
                <w:sz w:val="20"/>
                <w:szCs w:val="20"/>
                <w:color w:val="auto"/>
              </w:rPr>
            </w:pPr>
            <w:r>
              <w:rPr>
                <w:rFonts w:ascii="Arial" w:cs="Arial" w:eastAsia="Arial" w:hAnsi="Arial"/>
                <w:sz w:val="18"/>
                <w:szCs w:val="18"/>
                <w:color w:val="auto"/>
                <w:w w:val="99"/>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3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260" w:type="dxa"/>
            <w:vAlign w:val="bottom"/>
            <w:tcBorders>
              <w:right w:val="single" w:sz="8" w:color="auto"/>
            </w:tcBorders>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92"/>
              </w:rPr>
              <w:t>PERSON</w:t>
            </w:r>
          </w:p>
        </w:tc>
        <w:tc>
          <w:tcPr>
            <w:tcW w:w="260" w:type="dxa"/>
            <w:vAlign w:val="bottom"/>
            <w:tcBorders>
              <w:right w:val="single" w:sz="8" w:color="auto"/>
            </w:tcBorders>
          </w:tcPr>
          <w:p>
            <w:pPr>
              <w:spacing w:after="0"/>
              <w:rPr>
                <w:sz w:val="21"/>
                <w:szCs w:val="21"/>
                <w:color w:val="auto"/>
              </w:rPr>
            </w:pPr>
          </w:p>
        </w:tc>
        <w:tc>
          <w:tcPr>
            <w:tcW w:w="934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w w:val="77"/>
              </w:rPr>
              <w:t>AGGREGATE</w:t>
            </w:r>
          </w:p>
        </w:tc>
        <w:tc>
          <w:tcPr>
            <w:tcW w:w="9340" w:type="dxa"/>
            <w:vAlign w:val="bottom"/>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3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8"/>
              </w:rPr>
              <w:t>66.9% (2)</w:t>
            </w: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IN</w:t>
            </w:r>
          </w:p>
        </w:tc>
        <w:tc>
          <w:tcPr>
            <w:tcW w:w="26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40" w:right="120" w:hanging="436"/>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175,514,272 shares of Class B common stock of the Issuer (the “Class B Common Stock”) convertible into an equal number of shares of Class A common stock of the Issuer (the “Class A Common Stock”) at any time. Assumes the conversion of the Class B Common Stock referred to above into shares of Class A Common Stock.</w:t>
      </w:r>
    </w:p>
    <w:p>
      <w:pPr>
        <w:spacing w:after="0" w:line="86" w:lineRule="exact"/>
        <w:rPr>
          <w:rFonts w:ascii="Arial" w:cs="Arial" w:eastAsia="Arial" w:hAnsi="Arial"/>
          <w:sz w:val="18"/>
          <w:szCs w:val="18"/>
          <w:color w:val="auto"/>
        </w:rPr>
      </w:pPr>
    </w:p>
    <w:p>
      <w:pPr>
        <w:ind w:left="440" w:right="240" w:hanging="436"/>
        <w:spacing w:after="0" w:line="286"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86,916,016 shares of Class A Common Stock issued and outstanding as of November 30, 2018, as reported in the Quarterly Report on Form 10-Q for the quarterly period ended November 2, 2018 filed by the Issuer with the Securities and Exchange Commission (the “SEC”). Assumes the conversion of the Class B Common Stock referred to in footnote 1 into shares of Class A Common Stock.</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 of 9</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72582H107</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1</w:t>
            </w:r>
          </w:p>
        </w:tc>
        <w:tc>
          <w:tcPr>
            <w:tcW w:w="3000" w:type="dxa"/>
            <w:vAlign w:val="bottom"/>
          </w:tcPr>
          <w:p>
            <w:pPr>
              <w:ind w:left="220"/>
              <w:spacing w:after="0"/>
              <w:rPr>
                <w:sz w:val="20"/>
                <w:szCs w:val="20"/>
                <w:color w:val="auto"/>
              </w:rPr>
            </w:pPr>
            <w:r>
              <w:rPr>
                <w:rFonts w:ascii="Arial" w:cs="Arial" w:eastAsia="Arial" w:hAnsi="Arial"/>
                <w:sz w:val="18"/>
                <w:szCs w:val="18"/>
                <w:color w:val="auto"/>
                <w:w w:val="92"/>
              </w:rPr>
              <w:t>NAMES OF REPORTING PERSONS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006590" cy="5548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5548630"/>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Dell Technologies Inc.</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3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3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Delaware</w:t>
            </w: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3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8"/>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4"/>
              </w:rPr>
              <w:t>SHARES</w:t>
            </w:r>
          </w:p>
        </w:tc>
        <w:tc>
          <w:tcPr>
            <w:tcW w:w="260" w:type="dxa"/>
            <w:vAlign w:val="bottom"/>
            <w:tcBorders>
              <w:right w:val="single" w:sz="8" w:color="auto"/>
            </w:tcBorders>
            <w:vMerge w:val="continue"/>
          </w:tcPr>
          <w:p>
            <w:pPr>
              <w:spacing w:after="0"/>
              <w:rPr>
                <w:sz w:val="15"/>
                <w:szCs w:val="15"/>
                <w:color w:val="auto"/>
              </w:rPr>
            </w:pPr>
          </w:p>
        </w:tc>
        <w:tc>
          <w:tcPr>
            <w:tcW w:w="9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8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9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60" w:type="dxa"/>
            <w:vAlign w:val="bottom"/>
            <w:tcBorders>
              <w:right w:val="single" w:sz="8" w:color="auto"/>
            </w:tcBorders>
          </w:tcPr>
          <w:p>
            <w:pPr>
              <w:spacing w:after="0"/>
              <w:rPr>
                <w:sz w:val="18"/>
                <w:szCs w:val="18"/>
                <w:color w:val="auto"/>
              </w:rPr>
            </w:pPr>
          </w:p>
        </w:tc>
        <w:tc>
          <w:tcPr>
            <w:tcW w:w="9340" w:type="dxa"/>
            <w:vAlign w:val="bottom"/>
            <w:vMerge w:val="restart"/>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63"/>
              <w:spacing w:after="0" w:line="182" w:lineRule="exact"/>
              <w:rPr>
                <w:sz w:val="20"/>
                <w:szCs w:val="20"/>
                <w:color w:val="auto"/>
              </w:rPr>
            </w:pPr>
            <w:r>
              <w:rPr>
                <w:rFonts w:ascii="Arial" w:cs="Arial" w:eastAsia="Arial" w:hAnsi="Arial"/>
                <w:sz w:val="18"/>
                <w:szCs w:val="18"/>
                <w:color w:val="auto"/>
                <w:w w:val="99"/>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3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260" w:type="dxa"/>
            <w:vAlign w:val="bottom"/>
            <w:tcBorders>
              <w:right w:val="single" w:sz="8" w:color="auto"/>
            </w:tcBorders>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92"/>
              </w:rPr>
              <w:t>PERSON</w:t>
            </w:r>
          </w:p>
        </w:tc>
        <w:tc>
          <w:tcPr>
            <w:tcW w:w="260" w:type="dxa"/>
            <w:vAlign w:val="bottom"/>
            <w:tcBorders>
              <w:right w:val="single" w:sz="8" w:color="auto"/>
            </w:tcBorders>
          </w:tcPr>
          <w:p>
            <w:pPr>
              <w:spacing w:after="0"/>
              <w:rPr>
                <w:sz w:val="21"/>
                <w:szCs w:val="21"/>
                <w:color w:val="auto"/>
              </w:rPr>
            </w:pPr>
          </w:p>
        </w:tc>
        <w:tc>
          <w:tcPr>
            <w:tcW w:w="934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w w:val="77"/>
              </w:rPr>
              <w:t>AGGREGATE</w:t>
            </w:r>
          </w:p>
        </w:tc>
        <w:tc>
          <w:tcPr>
            <w:tcW w:w="9340" w:type="dxa"/>
            <w:vAlign w:val="bottom"/>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3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8"/>
              </w:rPr>
              <w:t>66.9% (2)</w:t>
            </w: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26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640" w:hanging="436"/>
        <w:spacing w:after="0" w:line="308"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Reflects 175,514,272 shares of Class B Common Stock convertible into an equal number of shares of Class A Common Stock at any time. Assumes the conversion of the Class B Common Stock referred to above into shares of Class A Common Stock.</w:t>
      </w:r>
    </w:p>
    <w:p>
      <w:pPr>
        <w:spacing w:after="0" w:line="51" w:lineRule="exact"/>
        <w:rPr>
          <w:rFonts w:ascii="Arial" w:cs="Arial" w:eastAsia="Arial" w:hAnsi="Arial"/>
          <w:sz w:val="17"/>
          <w:szCs w:val="17"/>
          <w:color w:val="auto"/>
        </w:rPr>
      </w:pPr>
    </w:p>
    <w:p>
      <w:pPr>
        <w:jc w:val="both"/>
        <w:ind w:left="440" w:right="240" w:hanging="436"/>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86,916,016 shares of Class A Common Stock issued and outstanding as of November 30, 2018, as reported in the Quarterly Report on Form 10-Q for the quarterly period ended November 2, 2018 filed by the Issuer with the SEC. Assumes the conversion of the Class B Common Stock referred to in footnote 1 into shares of Class A Common Stock.</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 of 9</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72582H107</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1</w:t>
            </w:r>
          </w:p>
        </w:tc>
        <w:tc>
          <w:tcPr>
            <w:tcW w:w="3000" w:type="dxa"/>
            <w:vAlign w:val="bottom"/>
          </w:tcPr>
          <w:p>
            <w:pPr>
              <w:ind w:left="220"/>
              <w:spacing w:after="0"/>
              <w:rPr>
                <w:sz w:val="20"/>
                <w:szCs w:val="20"/>
                <w:color w:val="auto"/>
              </w:rPr>
            </w:pPr>
            <w:r>
              <w:rPr>
                <w:rFonts w:ascii="Arial" w:cs="Arial" w:eastAsia="Arial" w:hAnsi="Arial"/>
                <w:sz w:val="18"/>
                <w:szCs w:val="18"/>
                <w:color w:val="auto"/>
                <w:w w:val="92"/>
              </w:rPr>
              <w:t>NAMES OF REPORTING PERSONS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006590" cy="554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548630"/>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EMC Corporation</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3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3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3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8"/>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4"/>
              </w:rPr>
              <w:t>SHARES</w:t>
            </w:r>
          </w:p>
        </w:tc>
        <w:tc>
          <w:tcPr>
            <w:tcW w:w="260" w:type="dxa"/>
            <w:vAlign w:val="bottom"/>
            <w:tcBorders>
              <w:right w:val="single" w:sz="8" w:color="auto"/>
            </w:tcBorders>
            <w:vMerge w:val="continue"/>
          </w:tcPr>
          <w:p>
            <w:pPr>
              <w:spacing w:after="0"/>
              <w:rPr>
                <w:sz w:val="15"/>
                <w:szCs w:val="15"/>
                <w:color w:val="auto"/>
              </w:rPr>
            </w:pPr>
          </w:p>
        </w:tc>
        <w:tc>
          <w:tcPr>
            <w:tcW w:w="9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8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9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60" w:type="dxa"/>
            <w:vAlign w:val="bottom"/>
            <w:tcBorders>
              <w:right w:val="single" w:sz="8" w:color="auto"/>
            </w:tcBorders>
          </w:tcPr>
          <w:p>
            <w:pPr>
              <w:spacing w:after="0"/>
              <w:rPr>
                <w:sz w:val="18"/>
                <w:szCs w:val="18"/>
                <w:color w:val="auto"/>
              </w:rPr>
            </w:pPr>
          </w:p>
        </w:tc>
        <w:tc>
          <w:tcPr>
            <w:tcW w:w="9340" w:type="dxa"/>
            <w:vAlign w:val="bottom"/>
            <w:vMerge w:val="restart"/>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63"/>
              <w:spacing w:after="0" w:line="182" w:lineRule="exact"/>
              <w:rPr>
                <w:sz w:val="20"/>
                <w:szCs w:val="20"/>
                <w:color w:val="auto"/>
              </w:rPr>
            </w:pPr>
            <w:r>
              <w:rPr>
                <w:rFonts w:ascii="Arial" w:cs="Arial" w:eastAsia="Arial" w:hAnsi="Arial"/>
                <w:sz w:val="18"/>
                <w:szCs w:val="18"/>
                <w:color w:val="auto"/>
                <w:w w:val="99"/>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3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260" w:type="dxa"/>
            <w:vAlign w:val="bottom"/>
            <w:tcBorders>
              <w:right w:val="single" w:sz="8" w:color="auto"/>
            </w:tcBorders>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92"/>
              </w:rPr>
              <w:t>PERSON</w:t>
            </w:r>
          </w:p>
        </w:tc>
        <w:tc>
          <w:tcPr>
            <w:tcW w:w="260" w:type="dxa"/>
            <w:vAlign w:val="bottom"/>
            <w:tcBorders>
              <w:right w:val="single" w:sz="8" w:color="auto"/>
            </w:tcBorders>
          </w:tcPr>
          <w:p>
            <w:pPr>
              <w:spacing w:after="0"/>
              <w:rPr>
                <w:sz w:val="21"/>
                <w:szCs w:val="21"/>
                <w:color w:val="auto"/>
              </w:rPr>
            </w:pPr>
          </w:p>
        </w:tc>
        <w:tc>
          <w:tcPr>
            <w:tcW w:w="934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w w:val="77"/>
              </w:rPr>
              <w:t>AGGREGATE</w:t>
            </w:r>
          </w:p>
        </w:tc>
        <w:tc>
          <w:tcPr>
            <w:tcW w:w="9340" w:type="dxa"/>
            <w:vAlign w:val="bottom"/>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175,514,272 shares of Class A Common Stock (1)</w:t>
            </w: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3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8"/>
              </w:rPr>
              <w:t>66.9% (2)</w:t>
            </w: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26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640" w:hanging="436"/>
        <w:spacing w:after="0" w:line="308"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175,514,272 shares of Class B Common Stock convertible into an equal number of shares of Class A Common Stock at any time. Assumes the conversion of the Class B Common Stock referred to above into shares of Class A Common Stock.</w:t>
      </w:r>
    </w:p>
    <w:p>
      <w:pPr>
        <w:spacing w:after="0" w:line="51" w:lineRule="exact"/>
        <w:rPr>
          <w:rFonts w:ascii="Arial" w:cs="Arial" w:eastAsia="Arial" w:hAnsi="Arial"/>
          <w:sz w:val="17"/>
          <w:szCs w:val="17"/>
          <w:color w:val="auto"/>
        </w:rPr>
      </w:pPr>
    </w:p>
    <w:p>
      <w:pPr>
        <w:jc w:val="both"/>
        <w:ind w:left="440" w:right="240" w:hanging="436"/>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86,916,016 shares of Class A Common Stock issued and outstanding as of November 30, 2018, as reported in the Quarterly Report on Form 10-Q for the quarterly period ended November 2, 2018 filed by the Issuer with the SEC. Assumes the conversion of the Class B Common Stock referred to in footnote 1 into shares of Class A Common Stock.</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 of 9</w:t>
      </w:r>
    </w:p>
    <w:p>
      <w:pPr>
        <w:sectPr>
          <w:pgSz w:w="11900" w:h="16838" w:orient="portrait"/>
          <w:cols w:equalWidth="0" w:num="1">
            <w:col w:w="11040"/>
          </w:cols>
          <w:pgMar w:left="440" w:top="274" w:right="41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is Pivotal Software, Inc.</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Issuer’s principal executive offices are located at 875 Howard Street, Fifth Floor, San Francisco, California 94103.</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statement is jointly filed by and on behalf of each of Michael S. Dell, Dell Technologies Inc. (“Dell Technologies”) and EMC Corporation (“EMC”) (collectively, the “Reporting Persons”).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Reporting Persons, individually and collectively, beneficially own, in aggregate, 175,514,272 shares of Class B common stock, par value $0.01 per share, of the Issuer (the “Class B Common Stock”), representing all outstanding shares of Class B Common Stock. The 175,514,272 shares of Class B Common Stock are held of record as follows:</w:t>
      </w:r>
    </w:p>
    <w:p>
      <w:pPr>
        <w:spacing w:after="0" w:line="87" w:lineRule="exact"/>
        <w:rPr>
          <w:sz w:val="20"/>
          <w:szCs w:val="20"/>
          <w:color w:val="auto"/>
        </w:rPr>
      </w:pPr>
    </w:p>
    <w:p>
      <w:pPr>
        <w:ind w:left="860" w:right="60" w:hanging="424"/>
        <w:spacing w:after="0" w:line="308"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EMC is the record holder of 131,306,110 shares of Class B Common Stock. EMC is indirectly wholly-owned by Dell Technologies through directly and indirectly held wholly-owned subsidiaries of Dell Technologies, consisting of Denali Intermediate Inc. and Dell Inc.</w:t>
      </w:r>
    </w:p>
    <w:p>
      <w:pPr>
        <w:spacing w:after="0" w:line="51" w:lineRule="exact"/>
        <w:rPr>
          <w:rFonts w:ascii="Arial" w:cs="Arial" w:eastAsia="Arial" w:hAnsi="Arial"/>
          <w:sz w:val="17"/>
          <w:szCs w:val="17"/>
          <w:color w:val="auto"/>
        </w:rPr>
      </w:pPr>
    </w:p>
    <w:p>
      <w:pPr>
        <w:ind w:left="860" w:right="120" w:hanging="424"/>
        <w:spacing w:after="0" w:line="279"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VMware, Inc. (“VMware”) is the record holder of 44,208,162 shares of Class B Common Stock, which constitutes the balance of the Class B Common Stock beneficially owned by the Reporting Persons. EMC, through direct ownership and through the ownership of its direct wholly-owned subsidiary, VMW Holdco LLC, is the beneficial owner of VMware common stock representing a majority of the total voting power of the outstanding shares of all outstanding classes of common stock of VMware.</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shares of Class B Common Stock held of record by EMC and VMware may be deemed to be beneficially owned by Dell Technologies and each other direct or indirect wholly-owned subsidiary of Dell Technologies that beneficially owns, directly or indirectly, an interest in EMC. Michael S. Dell owns shares of common stock of Dell Technologies representing a majority of the total voting power of the outstanding shares of all outstanding classes of common stock of Dell Technologies and therefore also may be deemed to beneficially own the shares of Class B Common Stock held of record by EMC and VMware.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amended and restated certificate of incorporation of the Issuer, each holder of Class B Common Stock may, at the option of the holder, convert its shares of Class B Common Stock into an equal number of shares of Class A common stock, par value $0.01 per share, of the Issuer (the “Class A Common Stock”) at any time, and from time to time, before the occurrence of a tax-free distribution under Section 355 of the Internal Revenue Code. Accordingly, each of the Reporting Persons may be deemed to beneficially own 175,514,272 shares of Class A Common Stock issuable, in aggregate, upon conversion of 131,306,110 shares of Class B Common Stock owned of record by EMC and 44,208,162 shares of Class B Common Stock owned of record by VMware.</w:t>
      </w:r>
    </w:p>
    <w:p>
      <w:pPr>
        <w:spacing w:after="0" w:line="1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Reporting Persons have entered into a Joint Filing Agreement, dated February 14, 2019, a copy of which is filed with this Schedule 13G as Exhibit 2, pursuant to which the Reporting Persons have agreed to file this statement jointly in accordance with the provisions of Rule 13d-1(k)(1) under the Securities Exchange Act of 1934. VMware is filing a separate Schedule 13G to report its beneficial ownership of securities of the Issuer.</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of the Reporting Persons is One Dell Way, Round Rock, Texas 78682.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S. Dell is a citizen of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is incorporated in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EMC is incorporated in Massachusetts.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 of 9</w:t>
      </w:r>
    </w:p>
    <w:p>
      <w:pPr>
        <w:sectPr>
          <w:pgSz w:w="11900" w:h="16838" w:orient="portrait"/>
          <w:cols w:equalWidth="0" w:num="1">
            <w:col w:w="11000"/>
          </w:cols>
          <w:pgMar w:left="440" w:top="270" w:right="45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$0.01 per share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72582H107</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840" w:type="dxa"/>
            <w:vAlign w:val="bottom"/>
            <w:gridSpan w:val="2"/>
          </w:tcPr>
          <w:p>
            <w:pPr>
              <w:ind w:left="220"/>
              <w:spacing w:after="0"/>
              <w:rPr>
                <w:sz w:val="20"/>
                <w:szCs w:val="20"/>
                <w:color w:val="auto"/>
              </w:rPr>
            </w:pPr>
            <w:r>
              <w:rPr>
                <w:rFonts w:ascii="Arial" w:cs="Arial" w:eastAsia="Arial" w:hAnsi="Arial"/>
                <w:sz w:val="18"/>
                <w:szCs w:val="18"/>
                <w:b w:val="1"/>
                <w:bCs w:val="1"/>
                <w:color w:val="auto"/>
              </w:rPr>
              <w:t>Ownership.</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   Amount beneficially owned(1):</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020" w:type="dxa"/>
            <w:vAlign w:val="bottom"/>
            <w:vMerge w:val="restart"/>
          </w:tcPr>
          <w:p>
            <w:pPr>
              <w:spacing w:after="0"/>
              <w:rPr>
                <w:sz w:val="21"/>
                <w:szCs w:val="21"/>
                <w:color w:val="auto"/>
              </w:rPr>
            </w:pPr>
          </w:p>
        </w:tc>
        <w:tc>
          <w:tcPr>
            <w:tcW w:w="3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Michael S. Dell</w:t>
            </w:r>
          </w:p>
        </w:tc>
        <w:tc>
          <w:tcPr>
            <w:tcW w:w="36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0"/>
              </w:rPr>
              <w:t>175,514,272 shares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Dell Technologies Inc.</w:t>
            </w:r>
          </w:p>
        </w:tc>
        <w:tc>
          <w:tcPr>
            <w:tcW w:w="3660" w:type="dxa"/>
            <w:vAlign w:val="bottom"/>
          </w:tcPr>
          <w:p>
            <w:pPr>
              <w:ind w:left="2200"/>
              <w:spacing w:after="0"/>
              <w:rPr>
                <w:sz w:val="20"/>
                <w:szCs w:val="20"/>
                <w:color w:val="auto"/>
              </w:rPr>
            </w:pPr>
            <w:r>
              <w:rPr>
                <w:rFonts w:ascii="Arial" w:cs="Arial" w:eastAsia="Arial" w:hAnsi="Arial"/>
                <w:sz w:val="18"/>
                <w:szCs w:val="18"/>
                <w:color w:val="auto"/>
                <w:w w:val="90"/>
              </w:rPr>
              <w:t>175,514,272 shares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EMC Corporation</w:t>
            </w:r>
          </w:p>
        </w:tc>
        <w:tc>
          <w:tcPr>
            <w:tcW w:w="36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0"/>
              </w:rPr>
              <w:t>175,514,272 shares</w:t>
            </w:r>
          </w:p>
        </w:tc>
        <w:tc>
          <w:tcPr>
            <w:tcW w:w="0" w:type="dxa"/>
            <w:vAlign w:val="bottom"/>
          </w:tcPr>
          <w:p>
            <w:pPr>
              <w:spacing w:after="0"/>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(b)  Percent of class(2):</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43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Michael S. Dell</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Dell Technologies Inc.</w:t>
            </w:r>
          </w:p>
        </w:tc>
        <w:tc>
          <w:tcPr>
            <w:tcW w:w="318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EMC Corporation</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220" w:hanging="436"/>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175,514,272 shares of Class B Common Stock beneficially owned by each Reporting Person, including 131,306,110 shares of Class B Common Stock owned of record by EMC and 44,208,162 shares of Class B Common Stock owned of record by VMware. Assumes the conversion of the Class B Common Stock referred to above into shares of Class A Common Stock.</w:t>
      </w:r>
    </w:p>
    <w:p>
      <w:pPr>
        <w:spacing w:after="0" w:line="86" w:lineRule="exact"/>
        <w:rPr>
          <w:rFonts w:ascii="Arial" w:cs="Arial" w:eastAsia="Arial" w:hAnsi="Arial"/>
          <w:sz w:val="18"/>
          <w:szCs w:val="18"/>
          <w:color w:val="auto"/>
        </w:rPr>
      </w:pPr>
    </w:p>
    <w:p>
      <w:pPr>
        <w:ind w:left="440" w:hanging="436"/>
        <w:spacing w:after="0" w:line="279"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175,514,272 shares of Class B Common Stock beneficially owned by each Reporting Person. The percent of class shown is based on 86,916,016 shares of Class A Common Stock issued and outstanding as of November 30, 2018, as reported in the Quarterly Report on Form 10-Q for the quarterly period ended November 2, 2018 filed by the Issuer with the Securities and Exchange Commission and assumes the conversion of the Class B Common Stock referred to above into shares of Class A Common Stock.</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 of 9</w:t>
      </w:r>
    </w:p>
    <w:p>
      <w:pPr>
        <w:sectPr>
          <w:pgSz w:w="11900" w:h="16838" w:orient="portrait"/>
          <w:cols w:equalWidth="0" w:num="1">
            <w:col w:w="10960"/>
          </w:cols>
          <w:pgMar w:left="440" w:top="270" w:right="499" w:bottom="1440" w:gutter="0" w:footer="0" w:header="0"/>
        </w:sectPr>
      </w:pPr>
    </w:p>
    <w:bookmarkStart w:id="6" w:name="page7"/>
    <w:bookmarkEnd w:id="6"/>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b w:val="1"/>
          <w:bCs w:val="1"/>
          <w:color w:val="auto"/>
        </w:rPr>
      </w:pPr>
    </w:p>
    <w:p>
      <w:pPr>
        <w:ind w:left="880" w:right="6840" w:hanging="444"/>
        <w:spacing w:after="0" w:line="407" w:lineRule="auto"/>
        <w:tabs>
          <w:tab w:leader="none" w:pos="863"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-0- for all Reporting Persons</w:t>
      </w:r>
    </w:p>
    <w:p>
      <w:pPr>
        <w:spacing w:after="0" w:line="202" w:lineRule="exact"/>
        <w:rPr>
          <w:rFonts w:ascii="Arial" w:cs="Arial" w:eastAsia="Arial" w:hAnsi="Arial"/>
          <w:sz w:val="18"/>
          <w:szCs w:val="18"/>
          <w:b w:val="1"/>
          <w:bCs w:val="1"/>
          <w:color w:val="auto"/>
        </w:rPr>
      </w:pPr>
    </w:p>
    <w:p>
      <w:pPr>
        <w:ind w:left="860" w:hanging="424"/>
        <w:spacing w:after="0"/>
        <w:tabs>
          <w:tab w:leader="none" w:pos="86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vote(1):</w:t>
      </w:r>
    </w:p>
    <w:p>
      <w:pPr>
        <w:spacing w:after="0" w:line="271"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Michael S. Dell</w:t>
            </w:r>
          </w:p>
        </w:tc>
        <w:tc>
          <w:tcPr>
            <w:tcW w:w="36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0"/>
              </w:rPr>
              <w:t>175,514,272 shares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Dell Technologies Inc.</w:t>
            </w:r>
          </w:p>
        </w:tc>
        <w:tc>
          <w:tcPr>
            <w:tcW w:w="3660" w:type="dxa"/>
            <w:vAlign w:val="bottom"/>
          </w:tcPr>
          <w:p>
            <w:pPr>
              <w:ind w:left="2200"/>
              <w:spacing w:after="0"/>
              <w:rPr>
                <w:sz w:val="20"/>
                <w:szCs w:val="20"/>
                <w:color w:val="auto"/>
              </w:rPr>
            </w:pPr>
            <w:r>
              <w:rPr>
                <w:rFonts w:ascii="Arial" w:cs="Arial" w:eastAsia="Arial" w:hAnsi="Arial"/>
                <w:sz w:val="18"/>
                <w:szCs w:val="18"/>
                <w:color w:val="auto"/>
                <w:w w:val="90"/>
              </w:rPr>
              <w:t>175,514,272 shares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EMC Corporation</w:t>
            </w:r>
          </w:p>
        </w:tc>
        <w:tc>
          <w:tcPr>
            <w:tcW w:w="36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0"/>
              </w:rPr>
              <w:t>175,514,272 shares</w:t>
            </w:r>
          </w:p>
        </w:tc>
      </w:tr>
    </w:tbl>
    <w:p>
      <w:pPr>
        <w:spacing w:after="0" w:line="346" w:lineRule="exact"/>
        <w:rPr>
          <w:sz w:val="20"/>
          <w:szCs w:val="20"/>
          <w:color w:val="auto"/>
        </w:rPr>
      </w:pPr>
    </w:p>
    <w:p>
      <w:pPr>
        <w:ind w:left="880" w:right="5900" w:hanging="444"/>
        <w:spacing w:after="0" w:line="407" w:lineRule="auto"/>
        <w:tabs>
          <w:tab w:leader="none" w:pos="86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 for all Reporting Persons</w:t>
      </w:r>
    </w:p>
    <w:p>
      <w:pPr>
        <w:spacing w:after="0" w:line="202" w:lineRule="exact"/>
        <w:rPr>
          <w:rFonts w:ascii="Arial" w:cs="Arial" w:eastAsia="Arial" w:hAnsi="Arial"/>
          <w:sz w:val="18"/>
          <w:szCs w:val="18"/>
          <w:b w:val="1"/>
          <w:bCs w:val="1"/>
          <w:color w:val="auto"/>
        </w:rPr>
      </w:pPr>
    </w:p>
    <w:p>
      <w:pPr>
        <w:ind w:left="860" w:hanging="424"/>
        <w:spacing w:after="0"/>
        <w:tabs>
          <w:tab w:leader="none" w:pos="8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of(1):</w:t>
      </w:r>
    </w:p>
    <w:p>
      <w:pPr>
        <w:spacing w:after="0" w:line="271"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Michael S. Dell</w:t>
            </w:r>
          </w:p>
        </w:tc>
        <w:tc>
          <w:tcPr>
            <w:tcW w:w="36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0"/>
              </w:rPr>
              <w:t>175,514,272 shares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Dell Technologies Inc.</w:t>
            </w:r>
          </w:p>
        </w:tc>
        <w:tc>
          <w:tcPr>
            <w:tcW w:w="3660" w:type="dxa"/>
            <w:vAlign w:val="bottom"/>
          </w:tcPr>
          <w:p>
            <w:pPr>
              <w:ind w:left="2200"/>
              <w:spacing w:after="0"/>
              <w:rPr>
                <w:sz w:val="20"/>
                <w:szCs w:val="20"/>
                <w:color w:val="auto"/>
              </w:rPr>
            </w:pPr>
            <w:r>
              <w:rPr>
                <w:rFonts w:ascii="Arial" w:cs="Arial" w:eastAsia="Arial" w:hAnsi="Arial"/>
                <w:sz w:val="18"/>
                <w:szCs w:val="18"/>
                <w:color w:val="auto"/>
                <w:w w:val="90"/>
              </w:rPr>
              <w:t>175,514,272 shares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EMC Corporation</w:t>
            </w:r>
          </w:p>
        </w:tc>
        <w:tc>
          <w:tcPr>
            <w:tcW w:w="36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0"/>
              </w:rPr>
              <w:t>175,514,272 shares</w:t>
            </w:r>
          </w:p>
        </w:tc>
      </w:tr>
    </w:tbl>
    <w:p>
      <w:pPr>
        <w:spacing w:after="0" w:line="3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40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right="40" w:hanging="436"/>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175,514,272 shares of Class B Common Stock beneficially owned by each reporting person, including 131,306,110 shares of Class B Common Stock owned of record by EMC and 44,208,162 shares of Class B Common Stock owned of record by VMware. Assumes the conversion of the Class B Common Stock referred to above into shares of Class A Common Stock.</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 of 9</w:t>
      </w:r>
    </w:p>
    <w:p>
      <w:pPr>
        <w:sectPr>
          <w:pgSz w:w="11900" w:h="16838" w:orient="portrait"/>
          <w:cols w:equalWidth="0" w:num="1">
            <w:col w:w="10720"/>
          </w:cols>
          <w:pgMar w:left="440" w:top="270" w:right="7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700" w:firstLine="88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Michael S. Dell</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Janet M. Bawcom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Janet M. Bawcom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Dell Technologies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Janet M. Bawcom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Janet M. Bawcom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 and Assistant 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EMC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Janet M. Bawcom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Janet M. Bawcom</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Assistant Secretary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 of 9</w:t>
      </w:r>
    </w:p>
    <w:p>
      <w:pPr>
        <w:sectPr>
          <w:pgSz w:w="11900" w:h="16838" w:orient="portrait"/>
          <w:cols w:equalWidth="0" w:num="1">
            <w:col w:w="11040"/>
          </w:cols>
          <w:pgMar w:left="440" w:top="270" w:right="419" w:bottom="1440" w:gutter="0" w:footer="0" w:header="0"/>
        </w:sectPr>
      </w:pPr>
    </w:p>
    <w:bookmarkStart w:id="8" w:name="page9"/>
    <w:bookmarkEnd w:id="8"/>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 of Exhibit</w:t>
      </w:r>
    </w:p>
    <w:p>
      <w:pPr>
        <w:spacing w:after="0" w:line="117" w:lineRule="exact"/>
        <w:rPr>
          <w:sz w:val="20"/>
          <w:szCs w:val="20"/>
          <w:color w:val="auto"/>
        </w:rPr>
      </w:pPr>
    </w:p>
    <w:p>
      <w:pPr>
        <w:ind w:left="1300" w:hanging="1296"/>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1300" w:hanging="1296"/>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 of 9</w:t>
      </w:r>
    </w:p>
    <w:p>
      <w:pPr>
        <w:sectPr>
          <w:pgSz w:w="11900" w:h="16838" w:orient="portrait"/>
          <w:cols w:equalWidth="0" w:num="1">
            <w:col w:w="10019"/>
          </w:cols>
          <w:pgMar w:left="440" w:top="27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jc w:val="both"/>
        <w:ind w:right="760"/>
        <w:spacing w:after="0" w:line="266" w:lineRule="auto"/>
        <w:rPr>
          <w:sz w:val="20"/>
          <w:szCs w:val="20"/>
          <w:color w:val="auto"/>
        </w:rPr>
      </w:pPr>
      <w:r>
        <w:rPr>
          <w:rFonts w:ascii="Arial" w:cs="Arial" w:eastAsia="Arial" w:hAnsi="Arial"/>
          <w:sz w:val="18"/>
          <w:szCs w:val="18"/>
          <w:color w:val="auto"/>
        </w:rPr>
        <w:t xml:space="preserve">KNOW ALL BY THESE PRESENTS, that Michael S. Dell hereby constitutes and appoints each of </w:t>
      </w:r>
      <w:r>
        <w:rPr>
          <w:rFonts w:ascii="Arial" w:cs="Arial" w:eastAsia="Arial" w:hAnsi="Arial"/>
          <w:sz w:val="18"/>
          <w:szCs w:val="18"/>
          <w:b w:val="1"/>
          <w:bCs w:val="1"/>
          <w:color w:val="auto"/>
        </w:rPr>
        <w:t>Janet Bawcom</w:t>
      </w:r>
      <w:r>
        <w:rPr>
          <w:rFonts w:ascii="Arial" w:cs="Arial" w:eastAsia="Arial" w:hAnsi="Arial"/>
          <w:sz w:val="18"/>
          <w:szCs w:val="18"/>
          <w:color w:val="auto"/>
        </w:rPr>
        <w:t xml:space="preserve">, </w:t>
      </w:r>
      <w:r>
        <w:rPr>
          <w:rFonts w:ascii="Arial" w:cs="Arial" w:eastAsia="Arial" w:hAnsi="Arial"/>
          <w:sz w:val="18"/>
          <w:szCs w:val="18"/>
          <w:b w:val="1"/>
          <w:bCs w:val="1"/>
          <w:color w:val="auto"/>
        </w:rPr>
        <w:t>Robert Potts</w:t>
      </w:r>
      <w:r>
        <w:rPr>
          <w:rFonts w:ascii="Arial" w:cs="Arial" w:eastAsia="Arial" w:hAnsi="Arial"/>
          <w:sz w:val="18"/>
          <w:szCs w:val="18"/>
          <w:color w:val="auto"/>
        </w:rPr>
        <w:t xml:space="preserve"> and </w:t>
      </w:r>
      <w:r>
        <w:rPr>
          <w:rFonts w:ascii="Arial" w:cs="Arial" w:eastAsia="Arial" w:hAnsi="Arial"/>
          <w:sz w:val="18"/>
          <w:szCs w:val="18"/>
          <w:b w:val="1"/>
          <w:bCs w:val="1"/>
          <w:color w:val="auto"/>
        </w:rPr>
        <w:t>James</w:t>
      </w:r>
      <w:r>
        <w:rPr>
          <w:rFonts w:ascii="Arial" w:cs="Arial" w:eastAsia="Arial" w:hAnsi="Arial"/>
          <w:sz w:val="18"/>
          <w:szCs w:val="18"/>
          <w:color w:val="auto"/>
        </w:rPr>
        <w:t xml:space="preserve"> </w:t>
      </w:r>
      <w:r>
        <w:rPr>
          <w:rFonts w:ascii="Arial" w:cs="Arial" w:eastAsia="Arial" w:hAnsi="Arial"/>
          <w:sz w:val="18"/>
          <w:szCs w:val="18"/>
          <w:b w:val="1"/>
          <w:bCs w:val="1"/>
          <w:color w:val="auto"/>
        </w:rPr>
        <w:t>Williamson</w:t>
      </w:r>
      <w:r>
        <w:rPr>
          <w:rFonts w:ascii="Arial" w:cs="Arial" w:eastAsia="Arial" w:hAnsi="Arial"/>
          <w:sz w:val="18"/>
          <w:szCs w:val="18"/>
          <w:color w:val="auto"/>
        </w:rPr>
        <w:t>, signing singly, as his true and lawful attorney-in-fact and agent, with full power and authority and full power of substitution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for, in the name of, and on behalf of Michael S. Dell, in any and all capacities, to:</w:t>
      </w:r>
    </w:p>
    <w:p>
      <w:pPr>
        <w:spacing w:after="0" w:line="86" w:lineRule="exact"/>
        <w:rPr>
          <w:sz w:val="20"/>
          <w:szCs w:val="20"/>
          <w:color w:val="auto"/>
        </w:rPr>
      </w:pPr>
    </w:p>
    <w:p>
      <w:pPr>
        <w:ind w:left="860" w:hanging="424"/>
        <w:spacing w:after="0" w:line="286"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execute any and all filings with respect to Pivotal Software, Inc. required by Michael S. Dell under Section 13 or Section 16 of the Securities Exchange Act of 1934 (the “Act”) (or any similar rule with respect to foreign securities exchanges) or any rule or regulation thereunder (including any amendment, supplement and/or exhibit thereto), for, in the name of, and on behalf of Michael S. Dell;</w:t>
      </w:r>
    </w:p>
    <w:p>
      <w:pPr>
        <w:spacing w:after="0" w:line="70" w:lineRule="exact"/>
        <w:rPr>
          <w:rFonts w:ascii="Arial" w:cs="Arial" w:eastAsia="Arial" w:hAnsi="Arial"/>
          <w:sz w:val="17"/>
          <w:szCs w:val="17"/>
          <w:color w:val="auto"/>
        </w:rPr>
      </w:pPr>
    </w:p>
    <w:p>
      <w:pPr>
        <w:ind w:left="860" w:right="120" w:hanging="4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and perform any and all acts for, in the name of, and on behalf of Michael S. Dell which such attorney-in-fact and agent determines may be necessary or appropriate to complete and execute any and all such filings, amendments, supplements and/or exhibits, and any and all other document(s) in connection therewith;</w:t>
      </w:r>
    </w:p>
    <w:p>
      <w:pPr>
        <w:spacing w:after="0" w:line="86" w:lineRule="exact"/>
        <w:rPr>
          <w:rFonts w:ascii="Arial" w:cs="Arial" w:eastAsia="Arial" w:hAnsi="Arial"/>
          <w:sz w:val="18"/>
          <w:szCs w:val="18"/>
          <w:color w:val="auto"/>
        </w:rPr>
      </w:pPr>
    </w:p>
    <w:p>
      <w:pPr>
        <w:ind w:left="860" w:right="120" w:hanging="424"/>
        <w:spacing w:after="0" w:line="25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such reports, filings, amendments, supplements, exhibits, and/or documents with any governmental office or agency, whether United States, foreign, state or local government (including, without limitation, the U.S. Securities and Exchange Commission (the “SEC”) and state securities administrators or commissions), or any securities exchange or securities quotation system (including, without limitation, the New York Stock Exchange), as may be required under applicable laws or rules and regulations of any securities exchange or securities quotation system; and</w:t>
      </w:r>
    </w:p>
    <w:p>
      <w:pPr>
        <w:spacing w:after="0" w:line="93" w:lineRule="exact"/>
        <w:rPr>
          <w:rFonts w:ascii="Arial" w:cs="Arial" w:eastAsia="Arial" w:hAnsi="Arial"/>
          <w:sz w:val="18"/>
          <w:szCs w:val="18"/>
          <w:color w:val="auto"/>
        </w:rPr>
      </w:pPr>
    </w:p>
    <w:p>
      <w:pPr>
        <w:ind w:left="860" w:right="100" w:hanging="424"/>
        <w:spacing w:after="0" w:line="276"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 any and all other acts that such attorney-in-fact and agent determines may be necessary or appropriate in connection with the foregoing that may be in the best interest of or legally required by Michael S. Dell, granting unto such attorney-in-fact and agent full power and authority to do and perform each and every act and thing requisite or necessary to be done in and about the premises, as fully to all intents and purposes as Michael S. Dell might or could do in person, hereby ratifying and confirming all that such attorney-in-fact and agent, or such attorney-in-fact and agent’s substitute or substitutes, shall do or cause to be done by virtue hereof.</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Michael S. Dell hereby acknowledges that each such attorney-in-fact and agent is serving in such capacity at the request of Michael S. Dell and is not assuming any of Michael S. Dell’s responsibilities to comply with Section 16 or Section 13(d) of the Act and the rules and regulations promulgated thereunder. The authority of each of the foregoing attorneys-in-fact and agents under this Power of Attorney shall continue until Michael S. Dell is no longer required to file Forms 3, 4, and 5 with regard to his ownership of or transactions in securities of Pivotal Software, Inc., unless earlier revoked in writing.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Michael S. Dell has caused this Power of Attorney to be executed and effective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17145</wp:posOffset>
            </wp:positionV>
            <wp:extent cx="2795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S. Dell</w:t>
      </w:r>
    </w:p>
    <w:p>
      <w:pPr>
        <w:sectPr>
          <w:pgSz w:w="11900" w:h="16838" w:orient="portrait"/>
          <w:cols w:equalWidth="0" w:num="1">
            <w:col w:w="11020"/>
          </w:cols>
          <w:pgMar w:left="440" w:top="121" w:right="43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right="100" w:firstLine="4"/>
        <w:spacing w:after="0" w:line="277" w:lineRule="auto"/>
        <w:tabs>
          <w:tab w:leader="none" w:pos="3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170" w:lineRule="exact"/>
        <w:rPr>
          <w:rFonts w:ascii="Arial" w:cs="Arial" w:eastAsia="Arial" w:hAnsi="Arial"/>
          <w:sz w:val="18"/>
          <w:szCs w:val="18"/>
          <w:color w:val="auto"/>
        </w:rPr>
      </w:pPr>
    </w:p>
    <w:p>
      <w:pPr>
        <w:ind w:right="120" w:firstLine="4"/>
        <w:spacing w:after="0" w:line="312"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Michael S. Dell</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Janet M. Bawcom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Janet M. Bawcom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Dell Technologies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Janet M. Bawcom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Janet M. Bawcom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 and Assistant 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EMC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Janet M. Bawcom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Janet M. Bawcom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Assistant Secretary</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3"/>
    </w:lvl>
    <w:lvl w:ilvl="1">
      <w:lvlJc w:val="left"/>
      <w:lvlText w:val="(%2)"/>
      <w:numFmt w:val="lowerRoman"/>
      <w:start w:val="1"/>
    </w:lvl>
  </w:abstractNum>
  <w:abstractNum w:abstractNumId="8">
    <w:nsid w:val="1190CDE7"/>
    <w:multiLevelType w:val="hybridMultilevel"/>
    <w:lvl w:ilvl="0">
      <w:lvlJc w:val="left"/>
      <w:lvlText w:val="(%1)"/>
      <w:numFmt w:val="lowerRoman"/>
      <w:start w:val="3"/>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2"/>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2019-12-21T00:25:56Z</dcterms:created>
  <dcterms:modified xsi:type="dcterms:W3CDTF">2019-12-21T00:25:56Z</dcterms:modified>
</cp:coreProperties>
</file>