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SLTA IV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Dell Technologies Inc.</w:t>
              </w:r>
            </w:hyperlink>
            <w:r>
              <w:rPr/>
              <w:t xml:space="preserve"> [ </w:t>
            </w:r>
            <w:r>
              <w:rPr>
                <w:rFonts w:ascii="Times;serif" w:hAnsi="Times;serif"/>
                <w:color w:val="0000FF"/>
                <w:sz w:val="24"/>
                <w:shd w:fill="FFFFFF" w:val="clear"/>
              </w:rPr>
              <w:t>DELL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925"/>
        <w:gridCol w:w="448"/>
        <w:gridCol w:w="610"/>
        <w:gridCol w:w="1272"/>
        <w:gridCol w:w="990"/>
        <w:gridCol w:w="10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89,222</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SL SPV-2, L.P.</w:t>
            </w:r>
            <w:r>
              <w:rPr>
                <w:rFonts w:ascii="Times;serif" w:hAnsi="Times;serif"/>
                <w:color w:val="008000"/>
                <w:position w:val="7"/>
                <w:sz w:val="16"/>
                <w:sz w:val="20"/>
                <w:shd w:fill="FFFFFF" w:val="clear"/>
              </w:rPr>
              <w:t>(2)(5)</w:t>
            </w:r>
            <w:r>
              <w:rPr/>
              <w:t xml:space="preserve"> </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67,990</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IV, L.P.</w:t>
            </w:r>
            <w:r>
              <w:rPr>
                <w:rFonts w:ascii="Times;serif" w:hAnsi="Times;serif"/>
                <w:color w:val="008000"/>
                <w:position w:val="7"/>
                <w:sz w:val="16"/>
                <w:sz w:val="20"/>
                <w:shd w:fill="FFFFFF" w:val="clear"/>
              </w:rPr>
              <w:t>(3)(5)</w:t>
            </w:r>
            <w:r>
              <w:rPr/>
              <w:t xml:space="preserve"> </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43,961</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Partners V DE (AIV), L.P.</w:t>
            </w:r>
            <w:r>
              <w:rPr>
                <w:rFonts w:ascii="Times;serif" w:hAnsi="Times;serif"/>
                <w:color w:val="008000"/>
                <w:position w:val="7"/>
                <w:sz w:val="16"/>
                <w:sz w:val="20"/>
                <w:shd w:fill="FFFFFF" w:val="clear"/>
              </w:rPr>
              <w:t>(4)(5)</w:t>
            </w:r>
            <w:r>
              <w:rPr/>
              <w:t xml:space="preserve"> </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through Silver Lake Group, L.L.C.</w:t>
            </w:r>
            <w:r>
              <w:rPr>
                <w:rFonts w:ascii="Times;serif" w:hAnsi="Times;serif"/>
                <w:color w:val="008000"/>
                <w:position w:val="7"/>
                <w:sz w:val="16"/>
                <w:sz w:val="20"/>
                <w:shd w:fill="FFFFFF" w:val="clear"/>
              </w:rPr>
              <w:t>(5)(6)</w:t>
            </w:r>
            <w:r>
              <w:rPr/>
              <w:t xml:space="preserve"> </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r>
              <w:rPr/>
              <w:t xml:space="preserve"> </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189,430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(8)</w:t>
            </w:r>
            <w:r>
              <w:rPr/>
              <w:t xml:space="preserve"> </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1,394,128</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(9)</w:t>
            </w:r>
            <w:r>
              <w:rPr/>
              <w:t xml:space="preserve"> </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49,630</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(10)</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SLTA IV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Silver Lake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Silver Lake Technology Associates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Silver Lake Partners IV,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SLTA SPV-2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SLTA SPV-2,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SL SPV-2,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6">
                    <w:r>
                      <w:rPr>
                        <w:rStyle w:val="InternetLink"/>
                      </w:rPr>
                      <w:t>Durban Egon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SILVER LAKE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2775 SAND HILL ROAD,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SL SPV-2, L.P., Silver Lake Partners IV, L.P., Silver Lake Partners V DE (AIV), L.P. and certain of their respective affiliates initiated in-kind distributions of Class C Common Stock, par value $0.01 per share ("Class C Common Stock") of Dell Technologies Inc. (the "Issuer") on July 10, 2026. The receipt of shares of Class C Common Stock by each of the Reporting Persons in connection with such distributions was exempt from reporting pursuant to Rule 16a-13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are directly held by SL SPV-2, L.P. The general partner of SL SPV-2, L.P. is SLTA SPV-2, L.P. ("SLTA SPV") and the general partner of SLTA SPV is SLTA SPV-2 (GP), L.L.C. ("SLTA SPV GP").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directly held by Silver Lake Partners IV, L.P. The general partner of Silver Lake Partners IV, L.P. is Silver Lake Technology Associates IV, L.P. ("SLTA IV") and the general partner of SLTA IV is SLTA IV (GP), L.L.C. ("SLTA IV GP").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securities are directly held by Silver Lake Partners V DE (AIV), L.P. The general partner of Silver Lake Partners V DE (AIV), L.P. is Silver Lake Technology Associates V, L.P. ("SLTA V") and the general partner of SLTA V is SLTA V (GP), L.L.C. ("SLTA V GP").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Silver Lake Group, L.L.C. ("SLG") is the managing member of SLTA SPV GP, SLTA IV GP and SLTA V GP. Egon Durban, who serves as a director of the Issuer, also serves as a Co-CEO and Managing Member of SLG. Each of the Reporting Persons may be deemed a director by deputization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shares of Class C Common Stock held directly held by SLG. Shares held include shares of Class C Common Stock received in connection with the distributions described herein on July 10, 2026. The receipt of such shares of Class C Common Stock was exempt from reporting pursuant to Rule 16a-13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shares of Class C Common Stock held by entities in which Mr. Egon Durban may be deemed to have an indirect pecuniary interest. Shares held include shares of Class C Common Stock received in connection with the distributions described herein on July 10, 2026. The receipt of such shares of Class C Common Stock was exempt from reporting pursuant to Rule 16a-13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In connection with the distributions described in footnote (1) above, distributions of certain shares were initiated to certain employees and managing members of SLG or its affiliates, including Mr. Durban. This amount reflects 33,862, 65,130, 30,889 and 59,549 shares held by SLTA SPV-2, L.P., SLTA IV, SLTA V, and SLG, respectively, on behalf of such individuals, including shares distributed in the July 10, 2026 distributions. The receipt of such shares of Class C Common Stock was exempt from reporting pursuant to Rule 16a-13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Represents shares of Class C Common Stock held directly by Mr. Egon Durban immediately following the receipt of shares in connection with the distributions of shares of Class C Common Stock on July 10, 2026. The receipt of such shares of Class C Common Stock was exempt from reporting pursuant to Rule 16a-13 of the Exchange Act.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Represents shares of Class C Common Stock beneficially owned indirectly by Mr. Durban through a trust for the benefit of certain family members including shares received in connection with the distributions of shares of Class C Common Stock on July 10, 2026. The receipt of such shares of Class C Common Stock indirectly by Mr. Durban was exempt from reporting pursuant to Rule 16a-13 of the Exchange Act.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Persons are jointly filing this Form 4 pursuant to Rule 16a-3(j) under the Exchange Act. This filing shall not be deemed an admission that the Reporting Persons are beneficial owners of all securities covered by this filing for purposes of Section 16 of the Exchange Act or otherwise, and each Reporting Person disclaims beneficial ownership of these securities, except to the extent of such Reporting Person's pecuniary interest therein, if any. Because no more than 10 reporting persons can file any one Form 4 through the Securities and Exchange Commission's EDGAR system, certain affiliates of the Reporting Persons have filed a separate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IV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IV (GP), L.L.C., general partner of Silver Lake Technology Associates 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IV (GP), L.L.C., general partner of Silver Lake Technology Associates IV, L.P., general partner of Silver Lake Partners IV,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SPV-2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SPV-2 (GP), L.L.C., general partner of SLTA SPV-2,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Justin G. Hamill, Managing Director and Chief Legal Officer of Silver Lake Group, L.L.C., managing member of SLTA SPV-2 (GP), L.L.C., general partner of SLTA SPV-2, L.P., general partner of SL SPV-2, L.P.</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Justin G. Hamill, Attorney-in-fact for Egon Durban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2568" TargetMode="External"/><Relationship Id="rId5" Type="http://schemas.openxmlformats.org/officeDocument/2006/relationships/hyperlink" Target="http://www.sec.gov/cgi-bin/browse-edgar?action=getcompany&amp;CIK=000157199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672568" TargetMode="External"/><Relationship Id="rId10" Type="http://schemas.openxmlformats.org/officeDocument/2006/relationships/hyperlink" Target="http://www.sec.gov/cgi-bin/browse-edgar?action=getcompany&amp;CIK=0001418226" TargetMode="External"/><Relationship Id="rId11" Type="http://schemas.openxmlformats.org/officeDocument/2006/relationships/hyperlink" Target="http://www.sec.gov/cgi-bin/browse-edgar?action=getcompany&amp;CIK=0001672566" TargetMode="External"/><Relationship Id="rId12" Type="http://schemas.openxmlformats.org/officeDocument/2006/relationships/hyperlink" Target="http://www.sec.gov/cgi-bin/browse-edgar?action=getcompany&amp;CIK=0001552054" TargetMode="External"/><Relationship Id="rId13" Type="http://schemas.openxmlformats.org/officeDocument/2006/relationships/hyperlink" Target="http://www.sec.gov/cgi-bin/browse-edgar?action=getcompany&amp;CIK=0001767116" TargetMode="External"/><Relationship Id="rId14" Type="http://schemas.openxmlformats.org/officeDocument/2006/relationships/hyperlink" Target="http://www.sec.gov/cgi-bin/browse-edgar?action=getcompany&amp;CIK=0001767115" TargetMode="External"/><Relationship Id="rId15" Type="http://schemas.openxmlformats.org/officeDocument/2006/relationships/hyperlink" Target="http://www.sec.gov/cgi-bin/browse-edgar?action=getcompany&amp;CIK=0001767114" TargetMode="External"/><Relationship Id="rId16" Type="http://schemas.openxmlformats.org/officeDocument/2006/relationships/hyperlink" Target="http://www.sec.gov/cgi-bin/browse-edgar?action=getcompany&amp;CIK=0001651403"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1822</Words>
  <Characters>9299</Characters>
  <CharactersWithSpaces>10904</CharactersWithSpaces>
  <Paragraphs>271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