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320" w:type="dxa"/>
            <w:vAlign w:val="bottom"/>
            <w:gridSpan w:val="7"/>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 SPV-2, L.P.</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40" w:type="dxa"/>
            <w:vAlign w:val="bottom"/>
            <w:gridSpan w:val="3"/>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Dell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DELL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Director</w:t>
            </w:r>
          </w:p>
        </w:tc>
        <w:tc>
          <w:tcPr>
            <w:tcW w:w="700" w:type="dxa"/>
            <w:vAlign w:val="bottom"/>
          </w:tcPr>
          <w:p>
            <w:pPr>
              <w:spacing w:after="0"/>
              <w:rPr>
                <w:sz w:val="5"/>
                <w:szCs w:val="5"/>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1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760" w:type="dxa"/>
            <w:vAlign w:val="bottom"/>
            <w:gridSpan w:val="2"/>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76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(First)</w:t>
            </w:r>
          </w:p>
        </w:tc>
        <w:tc>
          <w:tcPr>
            <w:tcW w:w="1920" w:type="dxa"/>
            <w:vAlign w:val="bottom"/>
            <w:gridSpan w:val="3"/>
          </w:tcPr>
          <w:p>
            <w:pPr>
              <w:ind w:left="560"/>
              <w:spacing w:after="0"/>
              <w:rPr>
                <w:sz w:val="20"/>
                <w:szCs w:val="20"/>
                <w:color w:val="auto"/>
              </w:rPr>
            </w:pPr>
            <w:r>
              <w:rPr>
                <w:rFonts w:ascii="Arial" w:cs="Arial" w:eastAsia="Arial" w:hAnsi="Arial"/>
                <w:sz w:val="13"/>
                <w:szCs w:val="13"/>
                <w:color w:val="auto"/>
              </w:rPr>
              <w:t>(Middle)</w:t>
            </w:r>
          </w:p>
        </w:tc>
        <w:tc>
          <w:tcPr>
            <w:tcW w:w="3200" w:type="dxa"/>
            <w:vAlign w:val="bottom"/>
            <w:gridSpan w:val="4"/>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06/10/2026</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5"/>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7"/>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5"/>
            <w:vMerge w:val="continue"/>
          </w:tcPr>
          <w:p>
            <w:pPr>
              <w:spacing w:after="0"/>
              <w:rPr>
                <w:sz w:val="9"/>
                <w:szCs w:val="9"/>
                <w:color w:val="auto"/>
              </w:rPr>
            </w:pPr>
          </w:p>
        </w:tc>
        <w:tc>
          <w:tcPr>
            <w:tcW w:w="33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7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gridSpan w:val="2"/>
            <w:vMerge w:val="continue"/>
          </w:tcPr>
          <w:p>
            <w:pPr>
              <w:spacing w:after="0"/>
              <w:rPr>
                <w:sz w:val="9"/>
                <w:szCs w:val="9"/>
                <w:color w:val="auto"/>
              </w:rPr>
            </w:pPr>
          </w:p>
        </w:tc>
        <w:tc>
          <w:tcPr>
            <w:tcW w:w="2920" w:type="dxa"/>
            <w:vAlign w:val="bottom"/>
            <w:gridSpan w:val="5"/>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MENLO PARK CA</w:t>
            </w:r>
          </w:p>
        </w:tc>
        <w:tc>
          <w:tcPr>
            <w:tcW w:w="1760" w:type="dxa"/>
            <w:vAlign w:val="bottom"/>
          </w:tcPr>
          <w:p>
            <w:pPr>
              <w:ind w:left="560"/>
              <w:spacing w:after="0" w:line="189" w:lineRule="exact"/>
              <w:rPr>
                <w:sz w:val="20"/>
                <w:szCs w:val="20"/>
                <w:color w:val="auto"/>
              </w:rPr>
            </w:pPr>
            <w:r>
              <w:rPr>
                <w:rFonts w:ascii="Times New Roman" w:cs="Times New Roman" w:eastAsia="Times New Roman" w:hAnsi="Times New Roman"/>
                <w:sz w:val="17"/>
                <w:szCs w:val="17"/>
                <w:color w:val="0000FF"/>
              </w:rPr>
              <w:t>94025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20" w:type="dxa"/>
            <w:vAlign w:val="bottom"/>
            <w:gridSpan w:val="5"/>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17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60" w:type="dxa"/>
            <w:vAlign w:val="bottom"/>
          </w:tcPr>
          <w:p>
            <w:pPr>
              <w:ind w:left="200"/>
              <w:spacing w:after="0"/>
              <w:rPr>
                <w:sz w:val="20"/>
                <w:szCs w:val="20"/>
                <w:color w:val="auto"/>
              </w:rPr>
            </w:pPr>
            <w:r>
              <w:rPr>
                <w:rFonts w:ascii="Arial" w:cs="Arial" w:eastAsia="Arial" w:hAnsi="Arial"/>
                <w:sz w:val="13"/>
                <w:szCs w:val="13"/>
                <w:color w:val="auto"/>
              </w:rPr>
              <w:t>Person</w:t>
            </w: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gridSpan w:val="2"/>
          </w:tcPr>
          <w:p>
            <w:pPr>
              <w:ind w:left="400"/>
              <w:spacing w:after="0"/>
              <w:rPr>
                <w:sz w:val="20"/>
                <w:szCs w:val="20"/>
                <w:color w:val="auto"/>
              </w:rPr>
            </w:pPr>
            <w:r>
              <w:rPr>
                <w:rFonts w:ascii="Arial" w:cs="Arial" w:eastAsia="Arial" w:hAnsi="Arial"/>
                <w:sz w:val="13"/>
                <w:szCs w:val="13"/>
                <w:color w:val="auto"/>
              </w:rPr>
              <w:t>(State)</w:t>
            </w:r>
          </w:p>
        </w:tc>
        <w:tc>
          <w:tcPr>
            <w:tcW w:w="1920" w:type="dxa"/>
            <w:vAlign w:val="bottom"/>
            <w:gridSpan w:val="3"/>
          </w:tcPr>
          <w:p>
            <w:pPr>
              <w:ind w:left="560"/>
              <w:spacing w:after="0"/>
              <w:rPr>
                <w:sz w:val="20"/>
                <w:szCs w:val="20"/>
                <w:color w:val="auto"/>
              </w:rPr>
            </w:pPr>
            <w:r>
              <w:rPr>
                <w:rFonts w:ascii="Arial" w:cs="Arial" w:eastAsia="Arial" w:hAnsi="Arial"/>
                <w:sz w:val="13"/>
                <w:szCs w:val="13"/>
                <w:color w:val="auto"/>
              </w:rPr>
              <w:t>(Zip)</w:t>
            </w: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18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120" w:type="dxa"/>
            <w:vAlign w:val="bottom"/>
            <w:tcBorders>
              <w:top w:val="single" w:sz="8" w:color="2C2C2C"/>
            </w:tcBorders>
            <w:gridSpan w:val="11"/>
          </w:tcPr>
          <w:p>
            <w:pPr>
              <w:jc w:val="right"/>
              <w:ind w:right="26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3"/>
          </w:tcPr>
          <w:p>
            <w:pPr>
              <w:ind w:left="92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220" w:type="dxa"/>
            <w:vAlign w:val="bottom"/>
            <w:gridSpan w:val="5"/>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20" w:type="dxa"/>
            <w:vAlign w:val="bottom"/>
            <w:gridSpan w:val="3"/>
          </w:tcPr>
          <w:p>
            <w:pPr>
              <w:jc w:val="center"/>
              <w:ind w:left="82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Code (Instr.</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3"/>
                <w:szCs w:val="13"/>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(Instr. 3 and 4)</w:t>
            </w:r>
          </w:p>
        </w:tc>
        <w:tc>
          <w:tcPr>
            <w:tcW w:w="7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2,488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391.03</w:t>
            </w:r>
            <w:r>
              <w:rPr>
                <w:rFonts w:ascii="Times New Roman" w:cs="Times New Roman" w:eastAsia="Times New Roman" w:hAnsi="Times New Roman"/>
                <w:sz w:val="22"/>
                <w:szCs w:val="22"/>
                <w:color w:val="008000"/>
                <w:w w:val="94"/>
                <w:vertAlign w:val="superscript"/>
              </w:rPr>
              <w:t>(10)</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87,566</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3,065</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391.85</w:t>
            </w:r>
            <w:r>
              <w:rPr>
                <w:rFonts w:ascii="Times New Roman" w:cs="Times New Roman" w:eastAsia="Times New Roman" w:hAnsi="Times New Roman"/>
                <w:sz w:val="22"/>
                <w:szCs w:val="22"/>
                <w:color w:val="008000"/>
                <w:w w:val="94"/>
                <w:vertAlign w:val="superscript"/>
              </w:rPr>
              <w:t>(11)</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84,500</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4,316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393.15</w:t>
            </w:r>
            <w:r>
              <w:rPr>
                <w:rFonts w:ascii="Times New Roman" w:cs="Times New Roman" w:eastAsia="Times New Roman" w:hAnsi="Times New Roman"/>
                <w:sz w:val="22"/>
                <w:szCs w:val="22"/>
                <w:color w:val="008000"/>
                <w:w w:val="94"/>
                <w:vertAlign w:val="superscript"/>
              </w:rPr>
              <w:t>(12)</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80,184</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7,501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394.12</w:t>
            </w:r>
            <w:r>
              <w:rPr>
                <w:rFonts w:ascii="Times New Roman" w:cs="Times New Roman" w:eastAsia="Times New Roman" w:hAnsi="Times New Roman"/>
                <w:sz w:val="22"/>
                <w:szCs w:val="22"/>
                <w:color w:val="008000"/>
                <w:w w:val="94"/>
                <w:vertAlign w:val="superscript"/>
              </w:rPr>
              <w:t>(13)</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72,683</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7,323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line="388" w:lineRule="exact"/>
              <w:rPr>
                <w:sz w:val="20"/>
                <w:szCs w:val="20"/>
                <w:color w:val="auto"/>
              </w:rPr>
            </w:pPr>
            <w:r>
              <w:rPr>
                <w:rFonts w:ascii="Arial" w:cs="Arial" w:eastAsia="Arial" w:hAnsi="Arial"/>
                <w:sz w:val="34"/>
                <w:szCs w:val="34"/>
                <w:color w:val="000000"/>
                <w:w w:val="83"/>
                <w:vertAlign w:val="subscript"/>
              </w:rPr>
              <w:t>$</w:t>
            </w:r>
            <w:r>
              <w:rPr>
                <w:rFonts w:ascii="Times New Roman" w:cs="Times New Roman" w:eastAsia="Times New Roman" w:hAnsi="Times New Roman"/>
                <w:sz w:val="34"/>
                <w:szCs w:val="34"/>
                <w:color w:val="0000FF"/>
                <w:w w:val="83"/>
                <w:vertAlign w:val="subscript"/>
              </w:rPr>
              <w:t>395</w:t>
            </w:r>
            <w:r>
              <w:rPr>
                <w:rFonts w:ascii="Times New Roman" w:cs="Times New Roman" w:eastAsia="Times New Roman" w:hAnsi="Times New Roman"/>
                <w:sz w:val="11"/>
                <w:szCs w:val="11"/>
                <w:color w:val="008000"/>
                <w:w w:val="83"/>
              </w:rPr>
              <w:t>(14)</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65,361</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6,401</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396.09</w:t>
            </w:r>
            <w:r>
              <w:rPr>
                <w:rFonts w:ascii="Times New Roman" w:cs="Times New Roman" w:eastAsia="Times New Roman" w:hAnsi="Times New Roman"/>
                <w:sz w:val="22"/>
                <w:szCs w:val="22"/>
                <w:color w:val="008000"/>
                <w:w w:val="94"/>
                <w:vertAlign w:val="superscript"/>
              </w:rPr>
              <w:t>(15)</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58,960</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3,479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397.11</w:t>
            </w:r>
            <w:r>
              <w:rPr>
                <w:rFonts w:ascii="Times New Roman" w:cs="Times New Roman" w:eastAsia="Times New Roman" w:hAnsi="Times New Roman"/>
                <w:sz w:val="22"/>
                <w:szCs w:val="22"/>
                <w:color w:val="008000"/>
                <w:w w:val="94"/>
                <w:vertAlign w:val="superscript"/>
              </w:rPr>
              <w:t>(16)</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55,481</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5,336</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398.07</w:t>
            </w:r>
            <w:r>
              <w:rPr>
                <w:rFonts w:ascii="Times New Roman" w:cs="Times New Roman" w:eastAsia="Times New Roman" w:hAnsi="Times New Roman"/>
                <w:sz w:val="22"/>
                <w:szCs w:val="22"/>
                <w:color w:val="008000"/>
                <w:w w:val="94"/>
                <w:vertAlign w:val="superscript"/>
              </w:rPr>
              <w:t>(17)</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50,146</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840" w:type="dxa"/>
            <w:vAlign w:val="bottom"/>
            <w:gridSpan w:val="2"/>
            <w:vMerge w:val="restart"/>
          </w:tcPr>
          <w:p>
            <w:pPr>
              <w:jc w:val="center"/>
              <w:ind w:left="901"/>
              <w:spacing w:after="0"/>
              <w:rPr>
                <w:sz w:val="20"/>
                <w:szCs w:val="20"/>
                <w:color w:val="auto"/>
              </w:rPr>
            </w:pPr>
            <w:r>
              <w:rPr>
                <w:rFonts w:ascii="Times New Roman" w:cs="Times New Roman" w:eastAsia="Times New Roman" w:hAnsi="Times New Roman"/>
                <w:sz w:val="17"/>
                <w:szCs w:val="17"/>
                <w:color w:val="0000FF"/>
              </w:rPr>
              <w:t>06/10/2026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777</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398.73</w:t>
            </w:r>
            <w:r>
              <w:rPr>
                <w:rFonts w:ascii="Times New Roman" w:cs="Times New Roman" w:eastAsia="Times New Roman" w:hAnsi="Times New Roman"/>
                <w:sz w:val="22"/>
                <w:szCs w:val="22"/>
                <w:color w:val="008000"/>
                <w:w w:val="94"/>
                <w:vertAlign w:val="superscript"/>
              </w:rPr>
              <w:t>(18)</w:t>
            </w:r>
          </w:p>
        </w:tc>
        <w:tc>
          <w:tcPr>
            <w:tcW w:w="40" w:type="dxa"/>
            <w:vAlign w:val="bottom"/>
          </w:tcPr>
          <w:p>
            <w:pPr>
              <w:spacing w:after="0"/>
              <w:rPr>
                <w:sz w:val="18"/>
                <w:szCs w:val="18"/>
                <w:color w:val="auto"/>
              </w:rPr>
            </w:pPr>
          </w:p>
        </w:tc>
        <w:tc>
          <w:tcPr>
            <w:tcW w:w="1060" w:type="dxa"/>
            <w:vAlign w:val="bottom"/>
            <w:vMerge w:val="restart"/>
          </w:tcPr>
          <w:p>
            <w:pPr>
              <w:jc w:val="right"/>
              <w:ind w:right="229"/>
              <w:spacing w:after="0"/>
              <w:rPr>
                <w:sz w:val="20"/>
                <w:szCs w:val="20"/>
                <w:color w:val="auto"/>
              </w:rPr>
            </w:pPr>
            <w:r>
              <w:rPr>
                <w:rFonts w:ascii="Times New Roman" w:cs="Times New Roman" w:eastAsia="Times New Roman" w:hAnsi="Times New Roman"/>
                <w:sz w:val="17"/>
                <w:szCs w:val="17"/>
                <w:color w:val="0000FF"/>
              </w:rPr>
              <w:t>49,369</w:t>
            </w:r>
          </w:p>
        </w:tc>
        <w:tc>
          <w:tcPr>
            <w:tcW w:w="70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4"/>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SL SPV-2,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6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90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3"/>
                <w:szCs w:val="13"/>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w:t>
            </w:r>
          </w:p>
        </w:tc>
        <w:tc>
          <w:tcPr>
            <w:tcW w:w="0" w:type="dxa"/>
            <w:vAlign w:val="bottom"/>
          </w:tcPr>
          <w:p>
            <w:pPr>
              <w:spacing w:after="0"/>
              <w:rPr>
                <w:sz w:val="1"/>
                <w:szCs w:val="1"/>
                <w:color w:val="auto"/>
              </w:rPr>
            </w:pPr>
          </w:p>
        </w:tc>
      </w:tr>
      <w:tr>
        <w:trPr>
          <w:trHeight w:val="213"/>
        </w:trPr>
        <w:tc>
          <w:tcPr>
            <w:tcW w:w="2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through</w:t>
            </w:r>
          </w:p>
        </w:tc>
        <w:tc>
          <w:tcPr>
            <w:tcW w:w="0" w:type="dxa"/>
            <w:vAlign w:val="bottom"/>
          </w:tcPr>
          <w:p>
            <w:pPr>
              <w:spacing w:after="0"/>
              <w:rPr>
                <w:sz w:val="1"/>
                <w:szCs w:val="1"/>
                <w:color w:val="auto"/>
              </w:rPr>
            </w:pPr>
          </w:p>
        </w:tc>
      </w:tr>
      <w:tr>
        <w:trPr>
          <w:trHeight w:val="226"/>
        </w:trPr>
        <w:tc>
          <w:tcPr>
            <w:tcW w:w="23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9,359</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Silver</w:t>
            </w:r>
          </w:p>
        </w:tc>
        <w:tc>
          <w:tcPr>
            <w:tcW w:w="0" w:type="dxa"/>
            <w:vAlign w:val="bottom"/>
          </w:tcPr>
          <w:p>
            <w:pPr>
              <w:spacing w:after="0"/>
              <w:rPr>
                <w:sz w:val="1"/>
                <w:szCs w:val="1"/>
                <w:color w:val="auto"/>
              </w:rPr>
            </w:pPr>
          </w:p>
        </w:tc>
      </w:tr>
      <w:tr>
        <w:trPr>
          <w:trHeight w:val="107"/>
        </w:trPr>
        <w:tc>
          <w:tcPr>
            <w:tcW w:w="232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191" w:right="359" w:bottom="0" w:gutter="0" w:footer="0" w:header="0"/>
        </w:sectPr>
      </w:pPr>
    </w:p>
    <w:p>
      <w:pPr>
        <w:ind w:left="10120"/>
        <w:spacing w:after="0" w:line="185" w:lineRule="auto"/>
        <w:rPr>
          <w:sz w:val="20"/>
          <w:szCs w:val="20"/>
          <w:color w:val="auto"/>
        </w:rPr>
      </w:pPr>
      <w:r>
        <w:rPr>
          <w:rFonts w:ascii="Times New Roman" w:cs="Times New Roman" w:eastAsia="Times New Roman" w:hAnsi="Times New Roman"/>
          <w:sz w:val="12"/>
          <w:szCs w:val="12"/>
          <w:color w:val="0000FF"/>
        </w:rPr>
        <w:t>Lake</w:t>
      </w:r>
    </w:p>
    <w:p>
      <w:pPr>
        <w:sectPr>
          <w:pgSz w:w="11900" w:h="16838" w:orient="portrait"/>
          <w:cols w:equalWidth="0" w:num="1">
            <w:col w:w="11080"/>
          </w:cols>
          <w:pgMar w:left="460" w:top="191" w:right="359" w:bottom="0" w:gutter="0" w:footer="0" w:header="0"/>
          <w:type w:val="continuous"/>
        </w:sectPr>
      </w:pPr>
    </w:p>
    <w:p>
      <w:pPr>
        <w:ind w:left="10120"/>
        <w:spacing w:after="0"/>
        <w:rPr>
          <w:sz w:val="20"/>
          <w:szCs w:val="20"/>
          <w:color w:val="auto"/>
        </w:rPr>
      </w:pPr>
      <w:r>
        <w:rPr>
          <w:rFonts w:ascii="Times New Roman" w:cs="Times New Roman" w:eastAsia="Times New Roman" w:hAnsi="Times New Roman"/>
          <w:sz w:val="17"/>
          <w:szCs w:val="17"/>
          <w:color w:val="0000FF"/>
        </w:rPr>
        <w:t>Group,</w:t>
      </w:r>
    </w:p>
    <w:p>
      <w:pPr>
        <w:ind w:left="10120"/>
        <w:spacing w:after="0" w:line="185" w:lineRule="auto"/>
        <w:rPr>
          <w:sz w:val="20"/>
          <w:szCs w:val="20"/>
          <w:color w:val="auto"/>
        </w:rPr>
      </w:pPr>
      <w:r>
        <w:rPr>
          <w:rFonts w:ascii="Times New Roman" w:cs="Times New Roman" w:eastAsia="Times New Roman" w:hAnsi="Times New Roman"/>
          <w:sz w:val="26"/>
          <w:szCs w:val="26"/>
          <w:color w:val="0000FF"/>
          <w:vertAlign w:val="subscript"/>
        </w:rPr>
        <w:t>L.L.C.</w:t>
      </w:r>
      <w:r>
        <w:rPr>
          <w:rFonts w:ascii="Times New Roman" w:cs="Times New Roman" w:eastAsia="Times New Roman" w:hAnsi="Times New Roman"/>
          <w:sz w:val="10"/>
          <w:szCs w:val="10"/>
          <w:color w:val="008000"/>
        </w:rPr>
        <w:t>(4)(5)</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9"/>
              </w:rPr>
              <w:t>4,845</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164,214</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60" w:type="dxa"/>
            <w:vAlign w:val="bottom"/>
            <w:tcBorders>
              <w:top w:val="single" w:sz="8" w:color="2C2C2C"/>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9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540" w:type="dxa"/>
            <w:vAlign w:val="bottom"/>
            <w:tcBorders>
              <w:top w:val="single" w:sz="8" w:color="2C2C2C"/>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1,317,963</w:t>
            </w:r>
          </w:p>
        </w:tc>
        <w:tc>
          <w:tcPr>
            <w:tcW w:w="560" w:type="dxa"/>
            <w:vAlign w:val="bottom"/>
            <w:tcBorders>
              <w:top w:val="single" w:sz="8" w:color="2C2C2C"/>
              <w:bottom w:val="single" w:sz="8" w:color="2C2C2C"/>
            </w:tcBorders>
          </w:tcPr>
          <w:p>
            <w:pPr>
              <w:jc w:val="center"/>
              <w:ind w:right="253"/>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(8)</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47,234</w:t>
            </w:r>
          </w:p>
        </w:tc>
        <w:tc>
          <w:tcPr>
            <w:tcW w:w="560" w:type="dxa"/>
            <w:vAlign w:val="bottom"/>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540" w:type="dxa"/>
            <w:vAlign w:val="bottom"/>
            <w:tcBorders>
              <w:top w:val="single" w:sz="8" w:color="2C2C2C"/>
            </w:tcBorders>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w w:val="98"/>
              </w:rPr>
              <w:t>67,140</w:t>
            </w:r>
          </w:p>
        </w:tc>
        <w:tc>
          <w:tcPr>
            <w:tcW w:w="560" w:type="dxa"/>
            <w:vAlign w:val="bottom"/>
            <w:tcBorders>
              <w:top w:val="single" w:sz="8" w:color="2C2C2C"/>
            </w:tcBorders>
            <w:vMerge w:val="restart"/>
          </w:tcPr>
          <w:p>
            <w:pPr>
              <w:jc w:val="center"/>
              <w:ind w:right="253"/>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7"/>
            <w:vMerge w:val="continue"/>
          </w:tcPr>
          <w:p>
            <w:pPr>
              <w:spacing w:after="0"/>
              <w:rPr>
                <w:sz w:val="10"/>
                <w:szCs w:val="10"/>
                <w:color w:val="auto"/>
              </w:rPr>
            </w:pPr>
          </w:p>
        </w:tc>
        <w:tc>
          <w:tcPr>
            <w:tcW w:w="1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4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120" w:type="dxa"/>
            <w:vAlign w:val="bottom"/>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0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SL SPV-2, L.P.</w:t>
              </w:r>
            </w:hyperlink>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SLTA SPV-2, L.P.</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SLTA SPV-2 (GP), L.L.C.</w:t>
              </w:r>
            </w:hyperlink>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-6908165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191"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6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Silver Lake Group, L.L.C.</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280" w:type="dxa"/>
            <w:vAlign w:val="bottom"/>
            <w:gridSpan w:val="2"/>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Durban Egon</w:t>
              </w:r>
            </w:hyperlink>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SILVER LAKE</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7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2775 SAND HILL ROAD, SUITE 100</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94025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-3672840</wp:posOffset>
            </wp:positionV>
            <wp:extent cx="2809240" cy="3752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June 10, 2026.</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par value $0.01 per share of the Issuer (the "Class B Common Stock") is convertible into one share of Class C Common Stock at any time, at the election of the</w:t>
      </w:r>
    </w:p>
    <w:p>
      <w:pPr>
        <w:spacing w:after="0" w:line="11" w:lineRule="exact"/>
        <w:rPr>
          <w:rFonts w:ascii="Times New Roman" w:cs="Times New Roman" w:eastAsia="Times New Roman" w:hAnsi="Times New Roman"/>
          <w:sz w:val="13"/>
          <w:szCs w:val="13"/>
          <w:color w:val="008000"/>
        </w:rPr>
      </w:pPr>
    </w:p>
    <w:p>
      <w:pPr>
        <w:ind w:left="2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 or automatically upon certain transfers, and has no expiration date. On June 10, 2026, certain of the Reporting Persons converted shares of Class B Common Stock into an equal number of shares of Class C Common Stock in connection with the sales described in footnote (1) above.</w:t>
      </w:r>
    </w:p>
    <w:p>
      <w:pPr>
        <w:spacing w:after="0" w:line="21"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directly held by SL SPV-2, L.P. The general partner of SL SPV-2, L.P. is SLTA SPV-2, L.P. and the general partner of SLTA SPV-2, L.P. is SLTA SPV-2 (GP), L.L.C.</w:t>
      </w:r>
    </w:p>
    <w:p>
      <w:pPr>
        <w:spacing w:after="0" w:line="5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Lake Group, L.L.C. ("SLG") is the managing member of SLTA SPV-2 (GP), L.L.C. Egon Durban, who serves as a director of the Issuer, also serves as a Co-CEO and Managing Member of SLG. Each of the Reporting Persons may be deemed a director by deputization of the Issuer.</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C Common Stock held by SLG.</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Class C Common Stock are held by entities in which Mr. Durban may be deemed to have an indirect pecuniary interest.</w:t>
      </w:r>
    </w:p>
    <w:p>
      <w:pPr>
        <w:spacing w:after="0" w:line="50" w:lineRule="exact"/>
        <w:rPr>
          <w:rFonts w:ascii="Times New Roman" w:cs="Times New Roman" w:eastAsia="Times New Roman" w:hAnsi="Times New Roman"/>
          <w:sz w:val="13"/>
          <w:szCs w:val="13"/>
          <w:color w:val="008000"/>
        </w:rPr>
      </w:pPr>
    </w:p>
    <w:p>
      <w:pPr>
        <w:ind w:left="20" w:right="3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reflects 24,563, 24,932, 114,663 and 56 shares held by SLTA SPV-2, L.P., Silver Lake Technology Associates V, L.P., SLG and Silver Lake Secondary Holdings L.P., respectively, on behalf of certain employees and managing members of SLG or its affiliates.</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held by Mr. Durban.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C Common Stock beneficially owned indirectly by Mr. Durban through a trust for the benefit of certain family members.</w:t>
      </w:r>
    </w:p>
    <w:p>
      <w:pPr>
        <w:spacing w:after="0" w:line="5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$390.3900 to $391.3700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1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$391.4600 to $392.4000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$392.5600 to $393.5500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$393.5800 to $394.5600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$394.5800 to $395.5700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$395.5800 to $396.5750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$396.6150 to $397.6000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$397.6100 to $398.6000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4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$398.6100 to $398.8300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2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described in footnote (1), Silver Lake Partners IV, L.P. directly holds 37,592 shares of Class C Common Stock, Silver Lake Partners V DE (AIV), L.P. directly holds 29,548 shares of Class C Common Stock, Silver Lake Technology Investors IV, L.P. directly holds 0 shares of Class C Common Stock, and Silver Lake Technology Investors V, L.P. directly holds 0 shares of Class C Common Stock which securities and transactions are reported on separate Form 4 filings.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right="40"/>
        <w:spacing w:after="0" w:line="244" w:lineRule="auto"/>
        <w:rPr>
          <w:sz w:val="20"/>
          <w:szCs w:val="20"/>
          <w:color w:val="auto"/>
        </w:rPr>
      </w:pPr>
      <w:r>
        <w:rPr>
          <w:rFonts w:ascii="Times New Roman" w:cs="Times New Roman" w:eastAsia="Times New Roman" w:hAnsi="Times New Roman"/>
          <w:sz w:val="13"/>
          <w:szCs w:val="13"/>
          <w:color w:val="00800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69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7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0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60"/>
        <w:spacing w:after="0" w:line="190" w:lineRule="auto"/>
        <w:tabs>
          <w:tab w:leader="none" w:pos="8740" w:val="left"/>
        </w:tabs>
        <w:rPr>
          <w:sz w:val="20"/>
          <w:szCs w:val="20"/>
          <w:color w:val="auto"/>
        </w:rPr>
      </w:pPr>
      <w:r>
        <w:rPr>
          <w:rFonts w:ascii="Times New Roman" w:cs="Times New Roman" w:eastAsia="Times New Roman" w:hAnsi="Times New Roman"/>
          <w:sz w:val="17"/>
          <w:szCs w:val="17"/>
          <w:color w:val="0000FF"/>
        </w:rPr>
        <w:t>Group, L.L.C., managing</w:t>
      </w:r>
      <w:r>
        <w:rPr>
          <w:sz w:val="20"/>
          <w:szCs w:val="20"/>
          <w:color w:val="auto"/>
        </w:rPr>
        <w:tab/>
      </w:r>
      <w:r>
        <w:rPr>
          <w:rFonts w:ascii="Times New Roman" w:cs="Times New Roman" w:eastAsia="Times New Roman" w:hAnsi="Times New Roman"/>
          <w:sz w:val="26"/>
          <w:szCs w:val="26"/>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-27305</wp:posOffset>
            </wp:positionV>
            <wp:extent cx="11150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343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4302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7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SLTA SPV-2, L.P.,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1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715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SL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33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ectPr>
          <w:pgSz w:w="11900" w:h="16838" w:orient="portrait"/>
          <w:cols w:equalWidth="0" w:num="1">
            <w:col w:w="10920"/>
          </w:cols>
          <w:pgMar w:left="480" w:top="125" w:right="499"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30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7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271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SLTA SPV-2,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93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50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6"/>
          <w:szCs w:val="16"/>
          <w:color w:val="0000FF"/>
        </w:rPr>
        <w:t>member of SLTA SPV-2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9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2901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Managing Director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979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Legal Officer of Silver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03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61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Justin G. Hamill,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93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Egon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295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13" Type="http://schemas.openxmlformats.org/officeDocument/2006/relationships/hyperlink" Target="http://www.sec.gov/cgi-bin/browse-edgar?action=getcompany&amp;CIK=0001767114" TargetMode="External"/><Relationship Id="rId14" Type="http://schemas.openxmlformats.org/officeDocument/2006/relationships/hyperlink" Target="http://www.sec.gov/cgi-bin/browse-edgar?action=getcompany&amp;CIK=0001571996" TargetMode="External"/><Relationship Id="rId16" Type="http://schemas.openxmlformats.org/officeDocument/2006/relationships/hyperlink" Target="http://www.sec.gov/cgi-bin/browse-edgar?action=getcompany&amp;CIK=0001767115" TargetMode="External"/><Relationship Id="rId17" Type="http://schemas.openxmlformats.org/officeDocument/2006/relationships/hyperlink" Target="http://www.sec.gov/cgi-bin/browse-edgar?action=getcompany&amp;CIK=0001767116" TargetMode="External"/><Relationship Id="rId19" Type="http://schemas.openxmlformats.org/officeDocument/2006/relationships/hyperlink" Target="http://www.sec.gov/cgi-bin/browse-edgar?action=getcompany&amp;CIK=0001418226" TargetMode="External"/><Relationship Id="rId20" Type="http://schemas.openxmlformats.org/officeDocument/2006/relationships/hyperlink" Target="http://www.sec.gov/cgi-bin/browse-edgar?action=getcompany&amp;CIK=00016514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2026-06-12T17:06:27Z</dcterms:created>
  <dcterms:modified xsi:type="dcterms:W3CDTF">2026-06-12T17:06:27Z</dcterms:modified>
</cp:coreProperties>
</file>