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18"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Registration No. 333-296691</w:t>
      </w:r>
    </w:p>
    <w:p>
      <w:pPr>
        <w:spacing w:after="0" w:line="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Prospectus Supplement</w:t>
      </w:r>
    </w:p>
    <w:p>
      <w:pPr>
        <w:spacing w:after="0" w:line="1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(To Prospectus dated June 11, 2026)</w:t>
      </w:r>
    </w:p>
    <w:p>
      <w:pPr>
        <w:spacing w:after="0" w:line="8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9"/>
          <w:szCs w:val="19"/>
          <w:b w:val="1"/>
          <w:bCs w:val="1"/>
          <w:color w:val="auto"/>
        </w:rPr>
        <w:t>$3,000,000,000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2381250</wp:posOffset>
            </wp:positionH>
            <wp:positionV relativeFrom="paragraph">
              <wp:posOffset>74930</wp:posOffset>
            </wp:positionV>
            <wp:extent cx="2406015" cy="311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6015" cy="311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Dell International L.L.C. and EMC Corporation</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Co-Issuers</w:t>
      </w:r>
    </w:p>
    <w:p>
      <w:pPr>
        <w:ind w:left="4300"/>
        <w:spacing w:after="0"/>
        <w:rPr>
          <w:sz w:val="20"/>
          <w:szCs w:val="20"/>
          <w:color w:val="auto"/>
        </w:rPr>
      </w:pPr>
      <w:r>
        <w:rPr>
          <w:rFonts w:ascii="Times New Roman" w:cs="Times New Roman" w:eastAsia="Times New Roman" w:hAnsi="Times New Roman"/>
          <w:sz w:val="14"/>
          <w:szCs w:val="14"/>
          <w:b w:val="1"/>
          <w:bCs w:val="1"/>
          <w:color w:val="auto"/>
        </w:rPr>
        <w:t>$1,000,000,000  4.750% Senior Notes due 2031</w:t>
      </w:r>
    </w:p>
    <w:p>
      <w:pPr>
        <w:spacing w:after="0" w:line="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$750,000,000  5.000% Senior Notes due 2034</w:t>
      </w:r>
    </w:p>
    <w:p>
      <w:pPr>
        <w:spacing w:after="0" w:line="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$1,250,000,000  5.250% Senior Notes due 2037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112395</wp:posOffset>
            </wp:positionV>
            <wp:extent cx="11087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32" w:lineRule="exact"/>
        <w:rPr>
          <w:sz w:val="24"/>
          <w:szCs w:val="24"/>
          <w:color w:val="auto"/>
        </w:rPr>
      </w:pPr>
    </w:p>
    <w:p>
      <w:pPr>
        <w:ind w:left="1480" w:right="459" w:firstLine="333"/>
        <w:spacing w:after="0" w:line="231" w:lineRule="auto"/>
        <w:rPr>
          <w:sz w:val="20"/>
          <w:szCs w:val="20"/>
          <w:color w:val="auto"/>
        </w:rPr>
      </w:pPr>
      <w:r>
        <w:rPr>
          <w:rFonts w:ascii="Times New Roman" w:cs="Times New Roman" w:eastAsia="Times New Roman" w:hAnsi="Times New Roman"/>
          <w:sz w:val="11"/>
          <w:szCs w:val="11"/>
          <w:color w:val="auto"/>
        </w:rPr>
        <w:t>We are offering $1,000,000,000 aggregate principal amount of 4.750% Senior Notes due 2031 (the “2031 notes”), $750,000,000 aggregate principal amount of 5.000% Senior Notes due 2034 (the “2034 notes”) and $1,250,000,000 aggregate principal amount of 5.250% Senior Notes due 2037 (the “2037 notes” and, together with the 2031 notes and the 2034 notes, the “notes” and each, a “series” of notes). We refer to the offering of notes as the “Offering” in this prospectus supplement.</w:t>
      </w:r>
    </w:p>
    <w:p>
      <w:pPr>
        <w:spacing w:after="0" w:line="5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1"/>
          <w:szCs w:val="11"/>
          <w:color w:val="auto"/>
        </w:rPr>
        <w:t>We intend to use the net proceeds of the Offering for general corporate purposes, which may include the repayment of debt. See “</w:t>
      </w:r>
      <w:r>
        <w:rPr>
          <w:rFonts w:ascii="Times New Roman" w:cs="Times New Roman" w:eastAsia="Times New Roman" w:hAnsi="Times New Roman"/>
          <w:sz w:val="11"/>
          <w:szCs w:val="11"/>
          <w:i w:val="1"/>
          <w:iCs w:val="1"/>
          <w:color w:val="auto"/>
        </w:rPr>
        <w:t>Use of Proceeds</w:t>
      </w:r>
      <w:r>
        <w:rPr>
          <w:rFonts w:ascii="Times New Roman" w:cs="Times New Roman" w:eastAsia="Times New Roman" w:hAnsi="Times New Roman"/>
          <w:sz w:val="11"/>
          <w:szCs w:val="11"/>
          <w:color w:val="auto"/>
        </w:rPr>
        <w:t>.”</w:t>
      </w:r>
    </w:p>
    <w:p>
      <w:pPr>
        <w:spacing w:after="0" w:line="70" w:lineRule="exact"/>
        <w:rPr>
          <w:sz w:val="24"/>
          <w:szCs w:val="24"/>
          <w:color w:val="auto"/>
        </w:rPr>
      </w:pPr>
    </w:p>
    <w:p>
      <w:pPr>
        <w:ind w:left="1480" w:right="419" w:firstLine="333"/>
        <w:spacing w:after="0" w:line="226" w:lineRule="auto"/>
        <w:rPr>
          <w:sz w:val="20"/>
          <w:szCs w:val="20"/>
          <w:color w:val="auto"/>
        </w:rPr>
      </w:pPr>
      <w:r>
        <w:rPr>
          <w:rFonts w:ascii="Times New Roman" w:cs="Times New Roman" w:eastAsia="Times New Roman" w:hAnsi="Times New Roman"/>
          <w:sz w:val="11"/>
          <w:szCs w:val="11"/>
          <w:color w:val="auto"/>
        </w:rPr>
        <w:t>The 2031 notes will mature on July 15, 2031. We will pay interest on the 2031 notes semi-annually in arrears on January 15 and July 15 of each year, commencing on January 15, 2027. The 2034 notes will mature on February 15, 2034. We will pay interest on the 2034 notes semi-annually in arrears on February 15 and August 15 of each year, commencing on August 15, 2026. The 2037 notes will mature on February 15, 2037. We will pay interest on the 2037 notes semi-annually in arrears on February 15 and August 15 of each year, commencing on August 15, 2026.</w:t>
      </w:r>
    </w:p>
    <w:p>
      <w:pPr>
        <w:spacing w:after="0" w:line="55" w:lineRule="exact"/>
        <w:rPr>
          <w:sz w:val="24"/>
          <w:szCs w:val="24"/>
          <w:color w:val="auto"/>
        </w:rPr>
      </w:pPr>
    </w:p>
    <w:p>
      <w:pPr>
        <w:ind w:left="1480" w:right="399" w:firstLine="333"/>
        <w:spacing w:after="0" w:line="226" w:lineRule="auto"/>
        <w:rPr>
          <w:sz w:val="20"/>
          <w:szCs w:val="20"/>
          <w:color w:val="auto"/>
        </w:rPr>
      </w:pPr>
      <w:r>
        <w:rPr>
          <w:rFonts w:ascii="Times New Roman" w:cs="Times New Roman" w:eastAsia="Times New Roman" w:hAnsi="Times New Roman"/>
          <w:sz w:val="11"/>
          <w:szCs w:val="11"/>
          <w:color w:val="auto"/>
        </w:rPr>
        <w:t>We may redeem some or all of the 2031 notes at any time prior to June 15, 2031 (the date that is one month prior to the maturity of the 2031 notes), the 2034 notes at any time prior to December 15, 2033 (the date that is two months prior to the maturity of the 2034 notes) and the 2037 notes at any time prior to November 15, 2036 (the date that is three months prior to the maturity of the 2037 notes), at a price equal to 100% of the principal amount of the notes redeemed, plus accrued and unpaid interest to, but not including, the redemption date, plus a “make-whole” premium, as described in this prospectus supplement.</w:t>
      </w:r>
    </w:p>
    <w:p>
      <w:pPr>
        <w:spacing w:after="0" w:line="55" w:lineRule="exact"/>
        <w:rPr>
          <w:sz w:val="24"/>
          <w:szCs w:val="24"/>
          <w:color w:val="auto"/>
        </w:rPr>
      </w:pPr>
    </w:p>
    <w:p>
      <w:pPr>
        <w:ind w:left="1480" w:right="379" w:firstLine="333"/>
        <w:spacing w:after="0" w:line="224" w:lineRule="auto"/>
        <w:rPr>
          <w:sz w:val="20"/>
          <w:szCs w:val="20"/>
          <w:color w:val="auto"/>
        </w:rPr>
      </w:pPr>
      <w:r>
        <w:rPr>
          <w:rFonts w:ascii="Times New Roman" w:cs="Times New Roman" w:eastAsia="Times New Roman" w:hAnsi="Times New Roman"/>
          <w:sz w:val="11"/>
          <w:szCs w:val="11"/>
          <w:color w:val="auto"/>
        </w:rPr>
        <w:t>On or after (i) June 15, 2031 (the date that is one month prior to the maturity of the 2031 notes), (ii) December 15, 2033 (the date that is two months prior to the maturity of the 2034 notes), and (iii) November 15, 2036 (the date that is three months prior to the maturity of the 2037 notes), we may redeem some or all of such notes at a redemption price equal to 100% of the principal amount of the notes redeemed, plus accrued and unpaid interest to, but not including, the redemption date. See “</w:t>
      </w:r>
      <w:r>
        <w:rPr>
          <w:rFonts w:ascii="Times New Roman" w:cs="Times New Roman" w:eastAsia="Times New Roman" w:hAnsi="Times New Roman"/>
          <w:sz w:val="11"/>
          <w:szCs w:val="11"/>
          <w:i w:val="1"/>
          <w:iCs w:val="1"/>
          <w:color w:val="auto"/>
        </w:rPr>
        <w:t>Description of Notes—Optional Redemption</w:t>
      </w:r>
      <w:r>
        <w:rPr>
          <w:rFonts w:ascii="Times New Roman" w:cs="Times New Roman" w:eastAsia="Times New Roman" w:hAnsi="Times New Roman"/>
          <w:sz w:val="11"/>
          <w:szCs w:val="11"/>
          <w:color w:val="auto"/>
        </w:rPr>
        <w:t>.” Upon the occurrence of a Change of Control Triggering Event (as described herein), we may be required to offer to repurchase all of the notes then outstanding at 101% of the principal amount, plus any accrued and unpaid interest to, but not including, the repurchase date. See “</w:t>
      </w:r>
      <w:r>
        <w:rPr>
          <w:rFonts w:ascii="Times New Roman" w:cs="Times New Roman" w:eastAsia="Times New Roman" w:hAnsi="Times New Roman"/>
          <w:sz w:val="11"/>
          <w:szCs w:val="11"/>
          <w:i w:val="1"/>
          <w:iCs w:val="1"/>
          <w:color w:val="auto"/>
        </w:rPr>
        <w:t>Description of Notes—Change of Control Triggering Event</w:t>
      </w:r>
      <w:r>
        <w:rPr>
          <w:rFonts w:ascii="Times New Roman" w:cs="Times New Roman" w:eastAsia="Times New Roman" w:hAnsi="Times New Roman"/>
          <w:sz w:val="11"/>
          <w:szCs w:val="11"/>
          <w:color w:val="auto"/>
        </w:rPr>
        <w:t>.”</w:t>
      </w:r>
    </w:p>
    <w:p>
      <w:pPr>
        <w:spacing w:after="0" w:line="5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0"/>
          <w:szCs w:val="10"/>
          <w:color w:val="auto"/>
        </w:rPr>
        <w:t>The notes offered hereby will rank equal in right of payment with all of the issuers’ existing and future senior indebtedness. For a more detailed discussion, see “</w:t>
      </w:r>
      <w:r>
        <w:rPr>
          <w:rFonts w:ascii="Times New Roman" w:cs="Times New Roman" w:eastAsia="Times New Roman" w:hAnsi="Times New Roman"/>
          <w:sz w:val="10"/>
          <w:szCs w:val="10"/>
          <w:i w:val="1"/>
          <w:iCs w:val="1"/>
          <w:color w:val="auto"/>
        </w:rPr>
        <w:t>Description of Notes.</w:t>
      </w:r>
      <w:r>
        <w:rPr>
          <w:rFonts w:ascii="Times New Roman" w:cs="Times New Roman" w:eastAsia="Times New Roman" w:hAnsi="Times New Roman"/>
          <w:sz w:val="10"/>
          <w:szCs w:val="10"/>
          <w:color w:val="auto"/>
        </w:rPr>
        <w:t>”</w:t>
      </w:r>
    </w:p>
    <w:p>
      <w:pPr>
        <w:spacing w:after="0" w:line="81" w:lineRule="exact"/>
        <w:rPr>
          <w:sz w:val="24"/>
          <w:szCs w:val="24"/>
          <w:color w:val="auto"/>
        </w:rPr>
      </w:pPr>
    </w:p>
    <w:p>
      <w:pPr>
        <w:ind w:left="1480" w:right="499" w:firstLine="333"/>
        <w:spacing w:after="0" w:line="226" w:lineRule="auto"/>
        <w:rPr>
          <w:sz w:val="20"/>
          <w:szCs w:val="20"/>
          <w:color w:val="auto"/>
        </w:rPr>
      </w:pPr>
      <w:r>
        <w:rPr>
          <w:rFonts w:ascii="Times New Roman" w:cs="Times New Roman" w:eastAsia="Times New Roman" w:hAnsi="Times New Roman"/>
          <w:sz w:val="11"/>
          <w:szCs w:val="11"/>
          <w:color w:val="auto"/>
        </w:rPr>
        <w:t>The notes will be guaranteed on a joint and several basis by Dell Technologies Inc., Denali Intermediate Inc. and Dell Inc. Such note guarantees will rank equal in right of payment with all existing and future senior indebtedness of such guarantors, including their guarantees of our obligations under our new revolving credit facility and our existing notes, and senior in right of payment to all future subordinated indebtedness of such guarantors. The notes will not be guaranteed by any of the issuers’ subsidiaries. See “</w:t>
      </w:r>
      <w:r>
        <w:rPr>
          <w:rFonts w:ascii="Times New Roman" w:cs="Times New Roman" w:eastAsia="Times New Roman" w:hAnsi="Times New Roman"/>
          <w:sz w:val="11"/>
          <w:szCs w:val="11"/>
          <w:i w:val="1"/>
          <w:iCs w:val="1"/>
          <w:color w:val="auto"/>
        </w:rPr>
        <w:t>Description of Notes—Note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Guarantees</w:t>
      </w:r>
      <w:r>
        <w:rPr>
          <w:rFonts w:ascii="Times New Roman" w:cs="Times New Roman" w:eastAsia="Times New Roman" w:hAnsi="Times New Roman"/>
          <w:sz w:val="11"/>
          <w:szCs w:val="11"/>
          <w:color w:val="auto"/>
        </w:rPr>
        <w:t>.”</w:t>
      </w:r>
    </w:p>
    <w:p>
      <w:pPr>
        <w:spacing w:after="0" w:line="55"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1"/>
          <w:szCs w:val="11"/>
          <w:color w:val="auto"/>
        </w:rPr>
        <w:t>The notes will not be listed on any stock exchange, and currently there are no public markets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112395</wp:posOffset>
            </wp:positionV>
            <wp:extent cx="11087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3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b w:val="1"/>
          <w:bCs w:val="1"/>
          <w:color w:val="auto"/>
        </w:rPr>
        <w:t>Investing in the notes involves risks. See “</w:t>
      </w:r>
      <w:r>
        <w:rPr>
          <w:rFonts w:ascii="Times New Roman" w:cs="Times New Roman" w:eastAsia="Times New Roman" w:hAnsi="Times New Roman"/>
          <w:sz w:val="12"/>
          <w:szCs w:val="12"/>
          <w:b w:val="1"/>
          <w:bCs w:val="1"/>
          <w:u w:val="single" w:color="auto"/>
          <w:color w:val="0000EE"/>
        </w:rPr>
        <w:t>Risk Factors</w:t>
      </w:r>
      <w:r>
        <w:rPr>
          <w:rFonts w:ascii="Times New Roman" w:cs="Times New Roman" w:eastAsia="Times New Roman" w:hAnsi="Times New Roman"/>
          <w:sz w:val="12"/>
          <w:szCs w:val="12"/>
          <w:b w:val="1"/>
          <w:bCs w:val="1"/>
          <w:color w:val="auto"/>
        </w:rPr>
        <w:t>” beginning on page S-13 of this prospectus supplement.</w:t>
      </w:r>
    </w:p>
    <w:p>
      <w:pPr>
        <w:spacing w:after="0" w:line="91" w:lineRule="exact"/>
        <w:rPr>
          <w:sz w:val="24"/>
          <w:szCs w:val="24"/>
          <w:color w:val="auto"/>
        </w:rPr>
      </w:pPr>
    </w:p>
    <w:p>
      <w:pPr>
        <w:ind w:left="1480" w:right="679" w:firstLine="333"/>
        <w:spacing w:after="0" w:line="244"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42" w:lineRule="exact"/>
        <w:rPr>
          <w:sz w:val="24"/>
          <w:szCs w:val="24"/>
          <w:color w:val="auto"/>
        </w:rPr>
      </w:pPr>
    </w:p>
    <w:tbl>
      <w:tblPr>
        <w:tblLayout w:type="fixed"/>
        <w:tblInd w:w="148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5"/>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Proceeds to Us</w:t>
            </w: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60" w:type="dxa"/>
            <w:vAlign w:val="bottom"/>
            <w:gridSpan w:val="4"/>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rPr>
              <w:t>Public Offering Price(1)</w:t>
            </w:r>
          </w:p>
        </w:tc>
        <w:tc>
          <w:tcPr>
            <w:tcW w:w="100" w:type="dxa"/>
            <w:vAlign w:val="bottom"/>
          </w:tcPr>
          <w:p>
            <w:pPr>
              <w:spacing w:after="0"/>
              <w:rPr>
                <w:sz w:val="10"/>
                <w:szCs w:val="10"/>
                <w:color w:val="auto"/>
              </w:rPr>
            </w:pPr>
          </w:p>
        </w:tc>
        <w:tc>
          <w:tcPr>
            <w:tcW w:w="1120" w:type="dxa"/>
            <w:vAlign w:val="bottom"/>
            <w:gridSpan w:val="4"/>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Underwriting Discount</w:t>
            </w:r>
          </w:p>
        </w:tc>
        <w:tc>
          <w:tcPr>
            <w:tcW w:w="100" w:type="dxa"/>
            <w:vAlign w:val="bottom"/>
          </w:tcPr>
          <w:p>
            <w:pPr>
              <w:spacing w:after="0"/>
              <w:rPr>
                <w:sz w:val="10"/>
                <w:szCs w:val="10"/>
                <w:color w:val="auto"/>
              </w:rPr>
            </w:pPr>
          </w:p>
        </w:tc>
        <w:tc>
          <w:tcPr>
            <w:tcW w:w="1300" w:type="dxa"/>
            <w:vAlign w:val="bottom"/>
            <w:gridSpan w:val="5"/>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(before expenses)</w:t>
            </w:r>
          </w:p>
        </w:tc>
        <w:tc>
          <w:tcPr>
            <w:tcW w:w="0" w:type="dxa"/>
            <w:vAlign w:val="bottom"/>
          </w:tcPr>
          <w:p>
            <w:pPr>
              <w:spacing w:after="0"/>
              <w:rPr>
                <w:sz w:val="1"/>
                <w:szCs w:val="1"/>
                <w:color w:val="auto"/>
              </w:rPr>
            </w:pPr>
          </w:p>
        </w:tc>
      </w:tr>
      <w:tr>
        <w:trPr>
          <w:trHeight w:val="92"/>
        </w:trPr>
        <w:tc>
          <w:tcPr>
            <w:tcW w:w="2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60" w:type="dxa"/>
            <w:vAlign w:val="bottom"/>
            <w:tcBorders>
              <w:top w:val="single" w:sz="8" w:color="auto"/>
            </w:tcBorders>
          </w:tcPr>
          <w:p>
            <w:pPr>
              <w:spacing w:after="0" w:line="92" w:lineRule="exact"/>
              <w:rPr>
                <w:sz w:val="20"/>
                <w:szCs w:val="20"/>
                <w:color w:val="auto"/>
              </w:rPr>
            </w:pPr>
            <w:r>
              <w:rPr>
                <w:rFonts w:ascii="Times New Roman" w:cs="Times New Roman" w:eastAsia="Times New Roman" w:hAnsi="Times New Roman"/>
                <w:sz w:val="10"/>
                <w:szCs w:val="10"/>
                <w:b w:val="1"/>
                <w:bCs w:val="1"/>
                <w:color w:val="auto"/>
                <w:w w:val="90"/>
              </w:rPr>
              <w:t>Per Note</w:t>
            </w:r>
          </w:p>
        </w:tc>
        <w:tc>
          <w:tcPr>
            <w:tcW w:w="2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ind w:right="207"/>
              <w:spacing w:after="0" w:line="92" w:lineRule="exact"/>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line="92" w:lineRule="exact"/>
              <w:rPr>
                <w:sz w:val="20"/>
                <w:szCs w:val="20"/>
                <w:color w:val="auto"/>
              </w:rPr>
            </w:pPr>
            <w:r>
              <w:rPr>
                <w:rFonts w:ascii="Times New Roman" w:cs="Times New Roman" w:eastAsia="Times New Roman" w:hAnsi="Times New Roman"/>
                <w:sz w:val="10"/>
                <w:szCs w:val="10"/>
                <w:b w:val="1"/>
                <w:bCs w:val="1"/>
                <w:color w:val="auto"/>
                <w:w w:val="90"/>
              </w:rPr>
              <w:t>Per Note</w:t>
            </w: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127"/>
              <w:spacing w:after="0" w:line="92" w:lineRule="exact"/>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8"/>
                <w:szCs w:val="8"/>
                <w:color w:val="auto"/>
              </w:rPr>
            </w:pPr>
          </w:p>
        </w:tc>
        <w:tc>
          <w:tcPr>
            <w:tcW w:w="500" w:type="dxa"/>
            <w:vAlign w:val="bottom"/>
            <w:tcBorders>
              <w:top w:val="single" w:sz="8" w:color="auto"/>
            </w:tcBorders>
            <w:gridSpan w:val="2"/>
          </w:tcPr>
          <w:p>
            <w:pPr>
              <w:jc w:val="right"/>
              <w:ind w:right="140"/>
              <w:spacing w:after="0" w:line="92" w:lineRule="exact"/>
              <w:rPr>
                <w:sz w:val="20"/>
                <w:szCs w:val="20"/>
                <w:color w:val="auto"/>
              </w:rPr>
            </w:pPr>
            <w:r>
              <w:rPr>
                <w:rFonts w:ascii="Times New Roman" w:cs="Times New Roman" w:eastAsia="Times New Roman" w:hAnsi="Times New Roman"/>
                <w:sz w:val="10"/>
                <w:szCs w:val="10"/>
                <w:b w:val="1"/>
                <w:bCs w:val="1"/>
                <w:color w:val="auto"/>
                <w:w w:val="90"/>
              </w:rPr>
              <w:t>Per Note</w:t>
            </w: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27"/>
              <w:spacing w:after="0" w:line="9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2031 Notes</w:t>
            </w:r>
          </w:p>
        </w:tc>
        <w:tc>
          <w:tcPr>
            <w:tcW w:w="18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580" w:type="dxa"/>
            <w:vAlign w:val="bottom"/>
            <w:vMerge w:val="continue"/>
            <w:shd w:val="clear" w:color="auto" w:fill="CCEEFF"/>
          </w:tcPr>
          <w:p>
            <w:pPr>
              <w:spacing w:after="0"/>
              <w:rPr>
                <w:sz w:val="8"/>
                <w:szCs w:val="8"/>
                <w:color w:val="auto"/>
              </w:rPr>
            </w:pPr>
          </w:p>
        </w:tc>
        <w:tc>
          <w:tcPr>
            <w:tcW w:w="1880" w:type="dxa"/>
            <w:vAlign w:val="bottom"/>
            <w:vMerge w:val="continue"/>
            <w:shd w:val="clear" w:color="auto" w:fill="CCEEFF"/>
          </w:tcPr>
          <w:p>
            <w:pPr>
              <w:spacing w:after="0"/>
              <w:rPr>
                <w:sz w:val="8"/>
                <w:szCs w:val="8"/>
                <w:color w:val="auto"/>
              </w:rPr>
            </w:pPr>
          </w:p>
        </w:tc>
        <w:tc>
          <w:tcPr>
            <w:tcW w:w="580" w:type="dxa"/>
            <w:vAlign w:val="bottom"/>
            <w:tcBorders>
              <w:right w:val="single" w:sz="8" w:color="CCEEFF"/>
            </w:tcBorders>
            <w:gridSpan w:val="2"/>
            <w:shd w:val="clear" w:color="auto" w:fill="CCEEFF"/>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99.563%</w:t>
            </w: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64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995,630,000</w:t>
            </w:r>
          </w:p>
        </w:tc>
        <w:tc>
          <w:tcPr>
            <w:tcW w:w="100" w:type="dxa"/>
            <w:vAlign w:val="bottom"/>
            <w:vMerge w:val="continue"/>
            <w:shd w:val="clear" w:color="auto" w:fill="CCEEFF"/>
          </w:tcPr>
          <w:p>
            <w:pPr>
              <w:spacing w:after="0"/>
              <w:rPr>
                <w:sz w:val="8"/>
                <w:szCs w:val="8"/>
                <w:color w:val="auto"/>
              </w:rPr>
            </w:pPr>
          </w:p>
        </w:tc>
        <w:tc>
          <w:tcPr>
            <w:tcW w:w="560" w:type="dxa"/>
            <w:vAlign w:val="bottom"/>
            <w:tcBorders>
              <w:right w:val="single" w:sz="8" w:color="CCEEFF"/>
            </w:tcBorders>
            <w:gridSpan w:val="2"/>
            <w:shd w:val="clear" w:color="auto" w:fill="CCEEFF"/>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0.400%</w:t>
            </w:r>
          </w:p>
        </w:tc>
        <w:tc>
          <w:tcPr>
            <w:tcW w:w="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4,000,000</w:t>
            </w:r>
          </w:p>
        </w:tc>
        <w:tc>
          <w:tcPr>
            <w:tcW w:w="100" w:type="dxa"/>
            <w:vAlign w:val="bottom"/>
            <w:vMerge w:val="continue"/>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99.163%</w:t>
            </w:r>
          </w:p>
        </w:tc>
        <w:tc>
          <w:tcPr>
            <w:tcW w:w="8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right w:val="single" w:sz="8" w:color="CCEEFF"/>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991,630,000</w:t>
            </w:r>
          </w:p>
        </w:tc>
        <w:tc>
          <w:tcPr>
            <w:tcW w:w="0" w:type="dxa"/>
            <w:vAlign w:val="bottom"/>
          </w:tcPr>
          <w:p>
            <w:pPr>
              <w:spacing w:after="0"/>
              <w:rPr>
                <w:sz w:val="1"/>
                <w:szCs w:val="1"/>
                <w:color w:val="auto"/>
              </w:rPr>
            </w:pPr>
          </w:p>
        </w:tc>
      </w:tr>
      <w:tr>
        <w:trPr>
          <w:trHeight w:val="112"/>
        </w:trPr>
        <w:tc>
          <w:tcPr>
            <w:tcW w:w="258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2034 Notes</w:t>
            </w:r>
          </w:p>
        </w:tc>
        <w:tc>
          <w:tcPr>
            <w:tcW w:w="246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99.404%</w:t>
            </w: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745,530,000</w:t>
            </w:r>
          </w:p>
        </w:tc>
        <w:tc>
          <w:tcPr>
            <w:tcW w:w="660" w:type="dxa"/>
            <w:vAlign w:val="bottom"/>
            <w:gridSpan w:val="3"/>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0.500%</w:t>
            </w:r>
          </w:p>
        </w:tc>
        <w:tc>
          <w:tcPr>
            <w:tcW w:w="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3,750,000</w:t>
            </w:r>
          </w:p>
        </w:tc>
        <w:tc>
          <w:tcPr>
            <w:tcW w:w="600" w:type="dxa"/>
            <w:vAlign w:val="bottom"/>
            <w:gridSpan w:val="3"/>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98.904%</w:t>
            </w:r>
          </w:p>
        </w:tc>
        <w:tc>
          <w:tcPr>
            <w:tcW w:w="1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741,780,000</w:t>
            </w:r>
          </w:p>
        </w:tc>
        <w:tc>
          <w:tcPr>
            <w:tcW w:w="0" w:type="dxa"/>
            <w:vAlign w:val="bottom"/>
          </w:tcPr>
          <w:p>
            <w:pPr>
              <w:spacing w:after="0"/>
              <w:rPr>
                <w:sz w:val="1"/>
                <w:szCs w:val="1"/>
                <w:color w:val="auto"/>
              </w:rPr>
            </w:pPr>
          </w:p>
        </w:tc>
      </w:tr>
      <w:tr>
        <w:trPr>
          <w:trHeight w:val="112"/>
        </w:trPr>
        <w:tc>
          <w:tcPr>
            <w:tcW w:w="25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2037 Notes</w:t>
            </w:r>
          </w:p>
        </w:tc>
        <w:tc>
          <w:tcPr>
            <w:tcW w:w="2460" w:type="dxa"/>
            <w:vAlign w:val="bottom"/>
            <w:tcBorders>
              <w:right w:val="single" w:sz="8" w:color="CCEEFF"/>
            </w:tcBorders>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99.259%</w:t>
            </w: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u w:val="single" w:color="auto"/>
                <w:color w:val="auto"/>
                <w:w w:val="4294967286"/>
              </w:rPr>
              <w:t>$</w:t>
            </w:r>
          </w:p>
        </w:tc>
        <w:tc>
          <w:tcPr>
            <w:tcW w:w="6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w w:val="94"/>
              </w:rPr>
              <w:t>1,240,737,500</w:t>
            </w:r>
          </w:p>
        </w:tc>
        <w:tc>
          <w:tcPr>
            <w:tcW w:w="660" w:type="dxa"/>
            <w:vAlign w:val="bottom"/>
            <w:tcBorders>
              <w:right w:val="single" w:sz="8" w:color="CCEEFF"/>
            </w:tcBorders>
            <w:gridSpan w:val="3"/>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0.600%</w:t>
            </w: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7,500,000</w:t>
            </w:r>
          </w:p>
        </w:tc>
        <w:tc>
          <w:tcPr>
            <w:tcW w:w="600" w:type="dxa"/>
            <w:vAlign w:val="bottom"/>
            <w:gridSpan w:val="3"/>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98.659%</w:t>
            </w:r>
          </w:p>
        </w:tc>
        <w:tc>
          <w:tcPr>
            <w:tcW w:w="12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u w:val="single" w:color="auto"/>
                <w:color w:val="auto"/>
              </w:rPr>
              <w:t>$</w:t>
            </w:r>
          </w:p>
        </w:tc>
        <w:tc>
          <w:tcPr>
            <w:tcW w:w="680" w:type="dxa"/>
            <w:vAlign w:val="bottom"/>
            <w:tcBorders>
              <w:right w:val="single" w:sz="8" w:color="CCEEFF"/>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w w:val="97"/>
              </w:rPr>
              <w:t>1,233,237,500</w:t>
            </w:r>
          </w:p>
        </w:tc>
        <w:tc>
          <w:tcPr>
            <w:tcW w:w="0" w:type="dxa"/>
            <w:vAlign w:val="bottom"/>
          </w:tcPr>
          <w:p>
            <w:pPr>
              <w:spacing w:after="0"/>
              <w:rPr>
                <w:sz w:val="1"/>
                <w:szCs w:val="1"/>
                <w:color w:val="auto"/>
              </w:rPr>
            </w:pPr>
          </w:p>
        </w:tc>
      </w:tr>
      <w:tr>
        <w:trPr>
          <w:trHeight w:val="113"/>
        </w:trPr>
        <w:tc>
          <w:tcPr>
            <w:tcW w:w="258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Combined Total</w:t>
            </w: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
                <w:szCs w:val="1"/>
                <w:u w:val="single" w:color="auto"/>
                <w:color w:val="auto"/>
                <w:w w:val="4294967286"/>
              </w:rPr>
              <w:t>$</w:t>
            </w:r>
          </w:p>
        </w:tc>
        <w:tc>
          <w:tcPr>
            <w:tcW w:w="6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w w:val="94"/>
              </w:rPr>
              <w:t>2,981,897,500</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w w:val="96"/>
              </w:rPr>
              <w:t>15,250,000</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w w:val="97"/>
              </w:rPr>
              <w:t>2,966,647,500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78105</wp:posOffset>
            </wp:positionV>
            <wp:extent cx="5772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215" cy="6350"/>
                    </a:xfrm>
                    <a:prstGeom prst="rect">
                      <a:avLst/>
                    </a:prstGeom>
                    <a:noFill/>
                  </pic:spPr>
                </pic:pic>
              </a:graphicData>
            </a:graphic>
          </wp:anchor>
        </w:drawing>
      </w:r>
    </w:p>
    <w:p>
      <w:pPr>
        <w:spacing w:after="0" w:line="126" w:lineRule="exact"/>
        <w:rPr>
          <w:sz w:val="24"/>
          <w:szCs w:val="24"/>
          <w:color w:val="auto"/>
        </w:rPr>
      </w:pPr>
    </w:p>
    <w:p>
      <w:pPr>
        <w:ind w:left="1800" w:hanging="323"/>
        <w:spacing w:after="0"/>
        <w:tabs>
          <w:tab w:leader="none" w:pos="18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Plus accrued interest, if any, from June 16, 2026 to the date of delivery.</w:t>
      </w:r>
    </w:p>
    <w:p>
      <w:pPr>
        <w:spacing w:after="0" w:line="68" w:lineRule="exact"/>
        <w:rPr>
          <w:sz w:val="24"/>
          <w:szCs w:val="24"/>
          <w:color w:val="auto"/>
        </w:rPr>
      </w:pPr>
    </w:p>
    <w:p>
      <w:pPr>
        <w:ind w:left="1480" w:right="459" w:firstLine="333"/>
        <w:spacing w:after="0"/>
        <w:rPr>
          <w:sz w:val="20"/>
          <w:szCs w:val="20"/>
          <w:color w:val="auto"/>
        </w:rPr>
      </w:pPr>
      <w:r>
        <w:rPr>
          <w:rFonts w:ascii="Times New Roman" w:cs="Times New Roman" w:eastAsia="Times New Roman" w:hAnsi="Times New Roman"/>
          <w:sz w:val="11"/>
          <w:szCs w:val="11"/>
          <w:color w:val="auto"/>
        </w:rPr>
        <w:t>The underwriters expect to deliver the notes to investors only in book-entry form through the facilities of The Depository Trust Company for the account of its participants including Euroclear Bank, SA/NV and Clearstream Banking S.A., on or about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102870</wp:posOffset>
            </wp:positionV>
            <wp:extent cx="11087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21" w:lineRule="exact"/>
        <w:rPr>
          <w:sz w:val="24"/>
          <w:szCs w:val="24"/>
          <w:color w:val="auto"/>
        </w:rPr>
      </w:pPr>
    </w:p>
    <w:tbl>
      <w:tblPr>
        <w:tblLayout w:type="fixed"/>
        <w:tblInd w:w="148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5"/>
          </w:tcPr>
          <w:p>
            <w:pPr>
              <w:jc w:val="center"/>
              <w:ind w:right="1140"/>
              <w:spacing w:after="0"/>
              <w:rPr>
                <w:sz w:val="20"/>
                <w:szCs w:val="20"/>
                <w:color w:val="auto"/>
              </w:rPr>
            </w:pPr>
            <w:r>
              <w:rPr>
                <w:rFonts w:ascii="Times New Roman" w:cs="Times New Roman" w:eastAsia="Times New Roman" w:hAnsi="Times New Roman"/>
                <w:sz w:val="12"/>
                <w:szCs w:val="12"/>
                <w:b w:val="1"/>
                <w:bCs w:val="1"/>
                <w:i w:val="1"/>
                <w:iCs w:val="1"/>
                <w:color w:val="auto"/>
              </w:rPr>
              <w:t>Joint Book-Running Managers</w:t>
            </w:r>
          </w:p>
        </w:tc>
        <w:tc>
          <w:tcPr>
            <w:tcW w:w="2160" w:type="dxa"/>
            <w:vAlign w:val="bottom"/>
          </w:tcPr>
          <w:p>
            <w:pPr>
              <w:spacing w:after="0"/>
              <w:rPr>
                <w:sz w:val="14"/>
                <w:szCs w:val="14"/>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Barclays</w:t>
            </w:r>
          </w:p>
        </w:tc>
        <w:tc>
          <w:tcPr>
            <w:tcW w:w="1320" w:type="dxa"/>
            <w:vAlign w:val="bottom"/>
          </w:tcPr>
          <w:p>
            <w:pPr>
              <w:spacing w:after="0"/>
              <w:rPr>
                <w:sz w:val="21"/>
                <w:szCs w:val="21"/>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54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6"/>
              </w:rPr>
              <w:t>BofA Securities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Goldman Sachs &amp; Co. LLC</w:t>
            </w:r>
          </w:p>
        </w:tc>
      </w:tr>
      <w:tr>
        <w:trPr>
          <w:trHeight w:val="163"/>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HSBC</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240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w w:val="94"/>
              </w:rPr>
              <w:t>J.P. Morgan</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PNC Capital Markets LLC</w:t>
            </w:r>
          </w:p>
        </w:tc>
      </w:tr>
      <w:tr>
        <w:trPr>
          <w:trHeight w:val="163"/>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BNP PARIBAS</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40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w w:val="95"/>
              </w:rPr>
              <w:t>Citigroup</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Deutsche Bank Securities</w:t>
            </w:r>
          </w:p>
        </w:tc>
      </w:tr>
      <w:tr>
        <w:trPr>
          <w:trHeight w:val="163"/>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Mizuho</w:t>
            </w:r>
          </w:p>
        </w:tc>
        <w:tc>
          <w:tcPr>
            <w:tcW w:w="1320" w:type="dxa"/>
            <w:vAlign w:val="bottom"/>
          </w:tcPr>
          <w:p>
            <w:pPr>
              <w:spacing w:after="0"/>
              <w:rPr>
                <w:sz w:val="14"/>
                <w:szCs w:val="14"/>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54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7"/>
              </w:rPr>
              <w:t>Morgan Stanley</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MUFG</w:t>
            </w:r>
          </w:p>
        </w:tc>
      </w:tr>
      <w:tr>
        <w:trPr>
          <w:trHeight w:val="163"/>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RBC Capital Markets</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40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w w:val="98"/>
              </w:rPr>
              <w:t>Scotiabank</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SOCIETE GENERALE</w:t>
            </w:r>
          </w:p>
        </w:tc>
      </w:tr>
      <w:tr>
        <w:trPr>
          <w:trHeight w:val="179"/>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TD Securities</w:t>
            </w: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72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7"/>
              </w:rPr>
              <w:t>UBS Investment Bank</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Wells Fargo Securities</w:t>
            </w:r>
          </w:p>
        </w:tc>
      </w:tr>
      <w:tr>
        <w:trPr>
          <w:trHeight w:val="174"/>
        </w:trPr>
        <w:tc>
          <w:tcPr>
            <w:tcW w:w="1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20"/>
        </w:trPr>
        <w:tc>
          <w:tcPr>
            <w:tcW w:w="1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jc w:val="center"/>
              <w:ind w:right="1620"/>
              <w:spacing w:after="0"/>
              <w:rPr>
                <w:sz w:val="20"/>
                <w:szCs w:val="20"/>
                <w:color w:val="auto"/>
              </w:rPr>
            </w:pPr>
            <w:r>
              <w:rPr>
                <w:rFonts w:ascii="Times New Roman" w:cs="Times New Roman" w:eastAsia="Times New Roman" w:hAnsi="Times New Roman"/>
                <w:sz w:val="12"/>
                <w:szCs w:val="12"/>
                <w:b w:val="1"/>
                <w:bCs w:val="1"/>
                <w:i w:val="1"/>
                <w:iCs w:val="1"/>
                <w:color w:val="auto"/>
              </w:rPr>
              <w:t>Co-Managers</w:t>
            </w:r>
          </w:p>
        </w:tc>
        <w:tc>
          <w:tcPr>
            <w:tcW w:w="2160" w:type="dxa"/>
            <w:vAlign w:val="bottom"/>
          </w:tcPr>
          <w:p>
            <w:pPr>
              <w:spacing w:after="0"/>
              <w:rPr>
                <w:sz w:val="19"/>
                <w:szCs w:val="19"/>
                <w:color w:val="auto"/>
              </w:rPr>
            </w:pP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BNY Capital Markets</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jc w:val="center"/>
              <w:ind w:right="1440"/>
              <w:spacing w:after="0"/>
              <w:rPr>
                <w:sz w:val="20"/>
                <w:szCs w:val="20"/>
                <w:color w:val="auto"/>
              </w:rPr>
            </w:pPr>
            <w:r>
              <w:rPr>
                <w:rFonts w:ascii="Times New Roman" w:cs="Times New Roman" w:eastAsia="Times New Roman" w:hAnsi="Times New Roman"/>
                <w:sz w:val="12"/>
                <w:szCs w:val="12"/>
                <w:b w:val="1"/>
                <w:bCs w:val="1"/>
                <w:color w:val="auto"/>
              </w:rPr>
              <w:t xml:space="preserve">ING      </w:t>
            </w:r>
          </w:p>
        </w:tc>
        <w:tc>
          <w:tcPr>
            <w:tcW w:w="2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Santander</w:t>
            </w:r>
          </w:p>
        </w:tc>
      </w:tr>
      <w:tr>
        <w:trPr>
          <w:trHeight w:val="161"/>
        </w:trPr>
        <w:tc>
          <w:tcPr>
            <w:tcW w:w="1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SMBC Nikko</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4"/>
          </w:tcPr>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 xml:space="preserve">Standard Chartered Bank      </w:t>
            </w:r>
          </w:p>
        </w:tc>
        <w:tc>
          <w:tcPr>
            <w:tcW w:w="2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Truist Securities</w:t>
            </w:r>
          </w:p>
        </w:tc>
      </w:tr>
      <w:tr>
        <w:trPr>
          <w:trHeight w:val="178"/>
        </w:trPr>
        <w:tc>
          <w:tcPr>
            <w:tcW w:w="1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spacing w:after="0"/>
              <w:rPr>
                <w:sz w:val="15"/>
                <w:szCs w:val="15"/>
                <w:color w:val="auto"/>
              </w:rPr>
            </w:pPr>
          </w:p>
        </w:tc>
        <w:tc>
          <w:tcPr>
            <w:tcW w:w="11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20"/>
        </w:trPr>
        <w:tc>
          <w:tcPr>
            <w:tcW w:w="1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4"/>
          </w:tcPr>
          <w:p>
            <w:pPr>
              <w:jc w:val="center"/>
              <w:ind w:right="1300"/>
              <w:spacing w:after="0"/>
              <w:rPr>
                <w:sz w:val="20"/>
                <w:szCs w:val="20"/>
                <w:color w:val="auto"/>
              </w:rPr>
            </w:pPr>
            <w:r>
              <w:rPr>
                <w:rFonts w:ascii="Times New Roman" w:cs="Times New Roman" w:eastAsia="Times New Roman" w:hAnsi="Times New Roman"/>
                <w:sz w:val="12"/>
                <w:szCs w:val="12"/>
                <w:b w:val="1"/>
                <w:bCs w:val="1"/>
                <w:i w:val="1"/>
                <w:iCs w:val="1"/>
                <w:color w:val="auto"/>
              </w:rPr>
              <w:t>Co-Syndicate Managers</w:t>
            </w:r>
          </w:p>
        </w:tc>
        <w:tc>
          <w:tcPr>
            <w:tcW w:w="2160" w:type="dxa"/>
            <w:vAlign w:val="bottom"/>
          </w:tcPr>
          <w:p>
            <w:pPr>
              <w:spacing w:after="0"/>
              <w:rPr>
                <w:sz w:val="19"/>
                <w:szCs w:val="19"/>
                <w:color w:val="auto"/>
              </w:rPr>
            </w:pPr>
          </w:p>
        </w:tc>
      </w:tr>
      <w:tr>
        <w:trPr>
          <w:trHeight w:val="221"/>
        </w:trPr>
        <w:tc>
          <w:tcPr>
            <w:tcW w:w="1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C.L. King &amp; Associates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 Seelaus &amp; Co., LLC</w:t>
            </w:r>
          </w:p>
        </w:tc>
      </w:tr>
      <w:tr>
        <w:trPr>
          <w:trHeight w:val="218"/>
        </w:trPr>
        <w:tc>
          <w:tcPr>
            <w:tcW w:w="1980" w:type="dxa"/>
            <w:vAlign w:val="bottom"/>
          </w:tcPr>
          <w:p>
            <w:pPr>
              <w:spacing w:after="0"/>
              <w:rPr>
                <w:sz w:val="18"/>
                <w:szCs w:val="18"/>
                <w:color w:val="auto"/>
              </w:rPr>
            </w:pPr>
          </w:p>
        </w:tc>
        <w:tc>
          <w:tcPr>
            <w:tcW w:w="4200" w:type="dxa"/>
            <w:vAlign w:val="bottom"/>
            <w:gridSpan w:val="6"/>
          </w:tcPr>
          <w:p>
            <w:pPr>
              <w:jc w:val="center"/>
              <w:ind w:left="95"/>
              <w:spacing w:after="0"/>
              <w:rPr>
                <w:sz w:val="20"/>
                <w:szCs w:val="20"/>
                <w:color w:val="auto"/>
              </w:rPr>
            </w:pPr>
            <w:r>
              <w:rPr>
                <w:rFonts w:ascii="Times New Roman" w:cs="Times New Roman" w:eastAsia="Times New Roman" w:hAnsi="Times New Roman"/>
                <w:sz w:val="12"/>
                <w:szCs w:val="12"/>
                <w:b w:val="1"/>
                <w:bCs w:val="1"/>
                <w:color w:val="auto"/>
              </w:rPr>
              <w:t>The date of this prospectus supplement is June 11, 2026.</w:t>
            </w:r>
          </w:p>
        </w:tc>
        <w:tc>
          <w:tcPr>
            <w:tcW w:w="2160" w:type="dxa"/>
            <w:vAlign w:val="bottom"/>
          </w:tcPr>
          <w:p>
            <w:pPr>
              <w:spacing w:after="0"/>
              <w:rPr>
                <w:sz w:val="18"/>
                <w:szCs w:val="18"/>
                <w:color w:val="auto"/>
              </w:rPr>
            </w:pPr>
          </w:p>
        </w:tc>
      </w:tr>
    </w:tbl>
    <w:p>
      <w:pPr>
        <w:sectPr>
          <w:pgSz w:w="11900" w:h="16838" w:orient="portrait"/>
          <w:cols w:equalWidth="0" w:num="1">
            <w:col w:w="10159"/>
          </w:cols>
          <w:pgMar w:left="300" w:top="20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right="419" w:firstLine="333"/>
        <w:spacing w:after="0" w:line="252" w:lineRule="auto"/>
        <w:rPr>
          <w:sz w:val="20"/>
          <w:szCs w:val="20"/>
          <w:color w:val="auto"/>
        </w:rPr>
      </w:pPr>
      <w:r>
        <w:rPr>
          <w:rFonts w:ascii="Times New Roman" w:cs="Times New Roman" w:eastAsia="Times New Roman" w:hAnsi="Times New Roman"/>
          <w:sz w:val="14"/>
          <w:szCs w:val="14"/>
          <w:b w:val="1"/>
          <w:bCs w:val="1"/>
          <w:color w:val="auto"/>
        </w:rPr>
        <w:t>Neither we nor the underwriters have authorized anyone to provide any information or make any representations other than those contained or incorporated by reference in this prospectus supplement, the accompanying prospectus or in any free writing prospectus. We and the underwriters have not authorized anyone to provide you with different information. We are not making an offer of these securities in any jurisdiction where the offer is not permitted.</w:t>
      </w:r>
    </w:p>
    <w:p>
      <w:pPr>
        <w:spacing w:after="0" w:line="141" w:lineRule="exact"/>
        <w:rPr>
          <w:sz w:val="20"/>
          <w:szCs w:val="20"/>
          <w:color w:val="auto"/>
        </w:rPr>
      </w:pPr>
    </w:p>
    <w:p>
      <w:pPr>
        <w:ind w:left="1480" w:right="619" w:firstLine="333"/>
        <w:spacing w:after="0" w:line="252" w:lineRule="auto"/>
        <w:rPr>
          <w:sz w:val="20"/>
          <w:szCs w:val="20"/>
          <w:color w:val="auto"/>
        </w:rPr>
      </w:pPr>
      <w:r>
        <w:rPr>
          <w:rFonts w:ascii="Times New Roman" w:cs="Times New Roman" w:eastAsia="Times New Roman" w:hAnsi="Times New Roman"/>
          <w:sz w:val="14"/>
          <w:szCs w:val="14"/>
          <w:b w:val="1"/>
          <w:bCs w:val="1"/>
          <w:color w:val="auto"/>
        </w:rPr>
        <w:t>You should not assume that the information contained or incorporated by reference in this prospectus supplement, the accompanying prospectus or in any free writing prospectus is accurate as of any date other than the date of the applicable document. Since the respective dates of this prospectus supplement, the accompanying prospectus and the documents incorporated by reference into this prospectus supplement, our business, financial condition, results of operations and prospects may have changed.</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1740" w:type="dxa"/>
            <w:vAlign w:val="bottom"/>
          </w:tcPr>
          <w:p>
            <w:pPr>
              <w:spacing w:after="0"/>
              <w:rPr>
                <w:sz w:val="15"/>
                <w:szCs w:val="15"/>
                <w:color w:val="auto"/>
              </w:rPr>
            </w:pPr>
          </w:p>
        </w:tc>
      </w:tr>
      <w:tr>
        <w:trPr>
          <w:trHeight w:val="327"/>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6"/>
              </w:rPr>
              <w:t>PROSPECTUS SUPPLEMENT</w:t>
            </w:r>
          </w:p>
        </w:tc>
        <w:tc>
          <w:tcPr>
            <w:tcW w:w="1740" w:type="dxa"/>
            <w:vAlign w:val="bottom"/>
          </w:tcPr>
          <w:p>
            <w:pPr>
              <w:spacing w:after="0"/>
              <w:rPr>
                <w:sz w:val="24"/>
                <w:szCs w:val="24"/>
                <w:color w:val="auto"/>
              </w:rPr>
            </w:pPr>
          </w:p>
        </w:tc>
      </w:tr>
      <w:tr>
        <w:trPr>
          <w:trHeight w:val="284"/>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6"/>
        </w:trPr>
        <w:tc>
          <w:tcPr>
            <w:tcW w:w="3140" w:type="dxa"/>
            <w:vAlign w:val="bottom"/>
            <w:tcBorders>
              <w:bottom w:val="single" w:sz="8" w:color="0000EE"/>
            </w:tcBorders>
            <w:gridSpan w:val="23"/>
          </w:tcPr>
          <w:p>
            <w:pPr>
              <w:spacing w:after="0" w:line="145" w:lineRule="exact"/>
              <w:rPr>
                <w:sz w:val="20"/>
                <w:szCs w:val="20"/>
                <w:color w:val="auto"/>
              </w:rPr>
            </w:pPr>
            <w:r>
              <w:rPr>
                <w:rFonts w:ascii="Times New Roman" w:cs="Times New Roman" w:eastAsia="Times New Roman" w:hAnsi="Times New Roman"/>
                <w:sz w:val="14"/>
                <w:szCs w:val="14"/>
                <w:color w:val="0000EE"/>
                <w:w w:val="96"/>
              </w:rPr>
              <w:t>Cautionary Note Regarding Forward-Looking Statements</w:t>
            </w:r>
          </w:p>
        </w:tc>
        <w:tc>
          <w:tcPr>
            <w:tcW w:w="3420" w:type="dxa"/>
            <w:vAlign w:val="bottom"/>
            <w:gridSpan w:val="2"/>
          </w:tcPr>
          <w:p>
            <w:pPr>
              <w:spacing w:after="0"/>
              <w:rPr>
                <w:sz w:val="12"/>
                <w:szCs w:val="12"/>
                <w:color w:val="auto"/>
              </w:rPr>
            </w:pPr>
          </w:p>
        </w:tc>
        <w:tc>
          <w:tcPr>
            <w:tcW w:w="17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S-1</w:t>
            </w: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About This Prospectus Supplement</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w:t>
            </w: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w:t>
            </w: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3"/>
        </w:trPr>
        <w:tc>
          <w:tcPr>
            <w:tcW w:w="2780" w:type="dxa"/>
            <w:vAlign w:val="bottom"/>
            <w:tcBorders>
              <w:bottom w:val="single" w:sz="8" w:color="0000EE"/>
            </w:tcBorders>
            <w:gridSpan w:val="21"/>
          </w:tcPr>
          <w:p>
            <w:pPr>
              <w:spacing w:after="0" w:line="143" w:lineRule="exact"/>
              <w:rPr>
                <w:sz w:val="20"/>
                <w:szCs w:val="20"/>
                <w:color w:val="auto"/>
              </w:rPr>
            </w:pPr>
            <w:r>
              <w:rPr>
                <w:rFonts w:ascii="Times New Roman" w:cs="Times New Roman" w:eastAsia="Times New Roman" w:hAnsi="Times New Roman"/>
                <w:sz w:val="14"/>
                <w:szCs w:val="14"/>
                <w:color w:val="0000EE"/>
                <w:w w:val="97"/>
              </w:rPr>
              <w:t>Incorporation of Certain Information by Reference</w:t>
            </w:r>
          </w:p>
        </w:tc>
        <w:tc>
          <w:tcPr>
            <w:tcW w:w="3780" w:type="dxa"/>
            <w:vAlign w:val="bottom"/>
            <w:gridSpan w:val="4"/>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w:t>
            </w:r>
          </w:p>
        </w:tc>
      </w:tr>
      <w:tr>
        <w:trPr>
          <w:trHeight w:val="143"/>
        </w:trPr>
        <w:tc>
          <w:tcPr>
            <w:tcW w:w="1400" w:type="dxa"/>
            <w:vAlign w:val="bottom"/>
            <w:tcBorders>
              <w:bottom w:val="single" w:sz="8" w:color="0000EE"/>
            </w:tcBorders>
            <w:gridSpan w:val="14"/>
          </w:tcPr>
          <w:p>
            <w:pPr>
              <w:spacing w:after="0" w:line="143" w:lineRule="exact"/>
              <w:rPr>
                <w:sz w:val="20"/>
                <w:szCs w:val="20"/>
                <w:color w:val="auto"/>
              </w:rPr>
            </w:pPr>
            <w:r>
              <w:rPr>
                <w:rFonts w:ascii="Times New Roman" w:cs="Times New Roman" w:eastAsia="Times New Roman" w:hAnsi="Times New Roman"/>
                <w:sz w:val="14"/>
                <w:szCs w:val="14"/>
                <w:color w:val="0000EE"/>
                <w:w w:val="95"/>
              </w:rPr>
              <w:t>Industry and Market Data</w:t>
            </w:r>
          </w:p>
        </w:tc>
        <w:tc>
          <w:tcPr>
            <w:tcW w:w="5160" w:type="dxa"/>
            <w:vAlign w:val="bottom"/>
            <w:gridSpan w:val="11"/>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S-5</w:t>
            </w:r>
          </w:p>
        </w:tc>
      </w:tr>
      <w:tr>
        <w:trPr>
          <w:trHeight w:val="143"/>
        </w:trPr>
        <w:tc>
          <w:tcPr>
            <w:tcW w:w="2760" w:type="dxa"/>
            <w:vAlign w:val="bottom"/>
            <w:tcBorders>
              <w:bottom w:val="single" w:sz="8" w:color="0000EE"/>
            </w:tcBorders>
            <w:gridSpan w:val="20"/>
          </w:tcPr>
          <w:p>
            <w:pPr>
              <w:spacing w:after="0" w:line="143" w:lineRule="exact"/>
              <w:rPr>
                <w:sz w:val="20"/>
                <w:szCs w:val="20"/>
                <w:color w:val="auto"/>
              </w:rPr>
            </w:pPr>
            <w:r>
              <w:rPr>
                <w:rFonts w:ascii="Times New Roman" w:cs="Times New Roman" w:eastAsia="Times New Roman" w:hAnsi="Times New Roman"/>
                <w:sz w:val="14"/>
                <w:szCs w:val="14"/>
                <w:color w:val="0000EE"/>
                <w:w w:val="96"/>
              </w:rPr>
              <w:t>Trademarks and Other Intellectual Property Rights</w:t>
            </w:r>
          </w:p>
        </w:tc>
        <w:tc>
          <w:tcPr>
            <w:tcW w:w="3800" w:type="dxa"/>
            <w:vAlign w:val="bottom"/>
            <w:gridSpan w:val="5"/>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S-5</w:t>
            </w:r>
          </w:p>
        </w:tc>
      </w:tr>
      <w:tr>
        <w:trPr>
          <w:trHeight w:val="143"/>
        </w:trPr>
        <w:tc>
          <w:tcPr>
            <w:tcW w:w="116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Basis of Presentation</w:t>
            </w:r>
          </w:p>
        </w:tc>
        <w:tc>
          <w:tcPr>
            <w:tcW w:w="5400" w:type="dxa"/>
            <w:vAlign w:val="bottom"/>
            <w:gridSpan w:val="15"/>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S-5</w:t>
            </w: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Summary</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S-7</w:t>
            </w: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S-13</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S-17</w:t>
            </w:r>
          </w:p>
        </w:tc>
      </w:tr>
      <w:tr>
        <w:trPr>
          <w:trHeight w:val="143"/>
        </w:trPr>
        <w:tc>
          <w:tcPr>
            <w:tcW w:w="780" w:type="dxa"/>
            <w:vAlign w:val="bottom"/>
            <w:tcBorders>
              <w:top w:val="single" w:sz="8" w:color="0000EE"/>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6"/>
              </w:rPr>
              <w:t>Capitalization</w:t>
            </w:r>
          </w:p>
        </w:tc>
        <w:tc>
          <w:tcPr>
            <w:tcW w:w="100" w:type="dxa"/>
            <w:vAlign w:val="bottom"/>
            <w:tcBorders>
              <w:top w:val="single" w:sz="8" w:color="0000EE"/>
            </w:tcBorders>
          </w:tcPr>
          <w:p>
            <w:pPr>
              <w:spacing w:after="0"/>
              <w:rPr>
                <w:sz w:val="12"/>
                <w:szCs w:val="12"/>
                <w:color w:val="auto"/>
              </w:rPr>
            </w:pPr>
          </w:p>
        </w:tc>
        <w:tc>
          <w:tcPr>
            <w:tcW w:w="5680" w:type="dxa"/>
            <w:vAlign w:val="bottom"/>
            <w:gridSpan w:val="18"/>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S-18</w:t>
            </w:r>
          </w:p>
        </w:tc>
      </w:tr>
      <w:tr>
        <w:trPr>
          <w:trHeight w:val="143"/>
        </w:trPr>
        <w:tc>
          <w:tcPr>
            <w:tcW w:w="1140" w:type="dxa"/>
            <w:vAlign w:val="bottom"/>
            <w:tcBorders>
              <w:bottom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5"/>
              </w:rPr>
              <w:t>Description of Notes</w:t>
            </w:r>
          </w:p>
        </w:tc>
        <w:tc>
          <w:tcPr>
            <w:tcW w:w="5420" w:type="dxa"/>
            <w:vAlign w:val="bottom"/>
            <w:gridSpan w:val="16"/>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S-19</w:t>
            </w:r>
          </w:p>
        </w:tc>
      </w:tr>
      <w:tr>
        <w:trPr>
          <w:trHeight w:val="143"/>
        </w:trPr>
        <w:tc>
          <w:tcPr>
            <w:tcW w:w="1740" w:type="dxa"/>
            <w:vAlign w:val="bottom"/>
            <w:tcBorders>
              <w:bottom w:val="single" w:sz="8" w:color="0000EE"/>
            </w:tcBorders>
            <w:gridSpan w:val="17"/>
          </w:tcPr>
          <w:p>
            <w:pPr>
              <w:spacing w:after="0" w:line="143" w:lineRule="exact"/>
              <w:rPr>
                <w:sz w:val="20"/>
                <w:szCs w:val="20"/>
                <w:color w:val="auto"/>
              </w:rPr>
            </w:pPr>
            <w:r>
              <w:rPr>
                <w:rFonts w:ascii="Times New Roman" w:cs="Times New Roman" w:eastAsia="Times New Roman" w:hAnsi="Times New Roman"/>
                <w:sz w:val="14"/>
                <w:szCs w:val="14"/>
                <w:color w:val="0000EE"/>
                <w:w w:val="96"/>
              </w:rPr>
              <w:t>Book Entry; Delivery and Form</w:t>
            </w:r>
          </w:p>
        </w:tc>
        <w:tc>
          <w:tcPr>
            <w:tcW w:w="4820" w:type="dxa"/>
            <w:vAlign w:val="bottom"/>
            <w:gridSpan w:val="8"/>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S-36</w:t>
            </w:r>
          </w:p>
        </w:tc>
      </w:tr>
      <w:tr>
        <w:trPr>
          <w:trHeight w:val="143"/>
        </w:trPr>
        <w:tc>
          <w:tcPr>
            <w:tcW w:w="3100" w:type="dxa"/>
            <w:vAlign w:val="bottom"/>
            <w:tcBorders>
              <w:bottom w:val="single" w:sz="8" w:color="0000EE"/>
            </w:tcBorders>
            <w:gridSpan w:val="22"/>
          </w:tcPr>
          <w:p>
            <w:pPr>
              <w:spacing w:after="0" w:line="143" w:lineRule="exact"/>
              <w:rPr>
                <w:sz w:val="20"/>
                <w:szCs w:val="20"/>
                <w:color w:val="auto"/>
              </w:rPr>
            </w:pPr>
            <w:r>
              <w:rPr>
                <w:rFonts w:ascii="Times New Roman" w:cs="Times New Roman" w:eastAsia="Times New Roman" w:hAnsi="Times New Roman"/>
                <w:sz w:val="14"/>
                <w:szCs w:val="14"/>
                <w:color w:val="0000EE"/>
                <w:w w:val="96"/>
              </w:rPr>
              <w:t>Certain United States Federal Income Tax Consequences</w:t>
            </w:r>
          </w:p>
        </w:tc>
        <w:tc>
          <w:tcPr>
            <w:tcW w:w="3460" w:type="dxa"/>
            <w:vAlign w:val="bottom"/>
            <w:gridSpan w:val="3"/>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S-40</w:t>
            </w:r>
          </w:p>
        </w:tc>
      </w:tr>
      <w:tr>
        <w:trPr>
          <w:trHeight w:val="143"/>
        </w:trPr>
        <w:tc>
          <w:tcPr>
            <w:tcW w:w="1680" w:type="dxa"/>
            <w:vAlign w:val="bottom"/>
            <w:tcBorders>
              <w:bottom w:val="single" w:sz="8" w:color="0000EE"/>
            </w:tcBorders>
            <w:gridSpan w:val="16"/>
          </w:tcPr>
          <w:p>
            <w:pPr>
              <w:spacing w:after="0" w:line="143" w:lineRule="exact"/>
              <w:rPr>
                <w:sz w:val="20"/>
                <w:szCs w:val="20"/>
                <w:color w:val="auto"/>
              </w:rPr>
            </w:pPr>
            <w:r>
              <w:rPr>
                <w:rFonts w:ascii="Times New Roman" w:cs="Times New Roman" w:eastAsia="Times New Roman" w:hAnsi="Times New Roman"/>
                <w:sz w:val="14"/>
                <w:szCs w:val="14"/>
                <w:color w:val="0000EE"/>
                <w:w w:val="96"/>
              </w:rPr>
              <w:t>Certain ERISA Considerations</w:t>
            </w:r>
          </w:p>
        </w:tc>
        <w:tc>
          <w:tcPr>
            <w:tcW w:w="4880" w:type="dxa"/>
            <w:vAlign w:val="bottom"/>
            <w:gridSpan w:val="9"/>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S-45</w:t>
            </w:r>
          </w:p>
        </w:tc>
      </w:tr>
      <w:tr>
        <w:trPr>
          <w:trHeight w:val="143"/>
        </w:trPr>
        <w:tc>
          <w:tcPr>
            <w:tcW w:w="74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5"/>
              </w:rPr>
              <w:t>Underwriting</w:t>
            </w:r>
          </w:p>
        </w:tc>
        <w:tc>
          <w:tcPr>
            <w:tcW w:w="5820" w:type="dxa"/>
            <w:vAlign w:val="bottom"/>
            <w:gridSpan w:val="21"/>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S-47</w:t>
            </w:r>
          </w:p>
        </w:tc>
      </w:tr>
      <w:tr>
        <w:trPr>
          <w:trHeight w:val="143"/>
        </w:trPr>
        <w:tc>
          <w:tcPr>
            <w:tcW w:w="760" w:type="dxa"/>
            <w:vAlign w:val="bottom"/>
            <w:tcBorders>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5800" w:type="dxa"/>
            <w:vAlign w:val="bottom"/>
            <w:gridSpan w:val="20"/>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S-54</w:t>
            </w: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Experts</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S-54</w:t>
            </w:r>
          </w:p>
        </w:tc>
      </w:tr>
      <w:tr>
        <w:trPr>
          <w:trHeight w:val="500"/>
        </w:trPr>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1740" w:type="dxa"/>
            <w:vAlign w:val="bottom"/>
          </w:tcPr>
          <w:p>
            <w:pPr>
              <w:spacing w:after="0"/>
              <w:rPr>
                <w:sz w:val="24"/>
                <w:szCs w:val="24"/>
                <w:color w:val="auto"/>
              </w:rPr>
            </w:pPr>
          </w:p>
        </w:tc>
      </w:tr>
      <w:tr>
        <w:trPr>
          <w:trHeight w:val="284"/>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6"/>
        </w:trPr>
        <w:tc>
          <w:tcPr>
            <w:tcW w:w="1200" w:type="dxa"/>
            <w:vAlign w:val="bottom"/>
            <w:tcBorders>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5"/>
              </w:rPr>
              <w:t>About this Prospectus</w:t>
            </w:r>
          </w:p>
        </w:tc>
        <w:tc>
          <w:tcPr>
            <w:tcW w:w="5360" w:type="dxa"/>
            <w:vAlign w:val="bottom"/>
            <w:gridSpan w:val="14"/>
          </w:tcPr>
          <w:p>
            <w:pPr>
              <w:spacing w:after="0"/>
              <w:rPr>
                <w:sz w:val="12"/>
                <w:szCs w:val="12"/>
                <w:color w:val="auto"/>
              </w:rPr>
            </w:pPr>
          </w:p>
        </w:tc>
        <w:tc>
          <w:tcPr>
            <w:tcW w:w="17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r>
      <w:tr>
        <w:trPr>
          <w:trHeight w:val="143"/>
        </w:trPr>
        <w:tc>
          <w:tcPr>
            <w:tcW w:w="3140" w:type="dxa"/>
            <w:vAlign w:val="bottom"/>
            <w:tcBorders>
              <w:bottom w:val="single" w:sz="8" w:color="0000EE"/>
            </w:tcBorders>
            <w:gridSpan w:val="23"/>
          </w:tcPr>
          <w:p>
            <w:pPr>
              <w:spacing w:after="0" w:line="143" w:lineRule="exact"/>
              <w:rPr>
                <w:sz w:val="20"/>
                <w:szCs w:val="20"/>
                <w:color w:val="auto"/>
              </w:rPr>
            </w:pPr>
            <w:r>
              <w:rPr>
                <w:rFonts w:ascii="Times New Roman" w:cs="Times New Roman" w:eastAsia="Times New Roman" w:hAnsi="Times New Roman"/>
                <w:sz w:val="14"/>
                <w:szCs w:val="14"/>
                <w:color w:val="0000EE"/>
                <w:w w:val="96"/>
              </w:rPr>
              <w:t>Cautionary Note Regarding Forward-Looking Statements</w:t>
            </w:r>
          </w:p>
        </w:tc>
        <w:tc>
          <w:tcPr>
            <w:tcW w:w="3420" w:type="dxa"/>
            <w:vAlign w:val="bottom"/>
            <w:gridSpan w:val="2"/>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r>
      <w:tr>
        <w:trPr>
          <w:trHeight w:val="143"/>
        </w:trPr>
        <w:tc>
          <w:tcPr>
            <w:tcW w:w="1400" w:type="dxa"/>
            <w:vAlign w:val="bottom"/>
            <w:tcBorders>
              <w:bottom w:val="single" w:sz="8" w:color="0000EE"/>
            </w:tcBorders>
            <w:gridSpan w:val="14"/>
          </w:tcPr>
          <w:p>
            <w:pPr>
              <w:spacing w:after="0" w:line="143" w:lineRule="exact"/>
              <w:rPr>
                <w:sz w:val="20"/>
                <w:szCs w:val="20"/>
                <w:color w:val="auto"/>
              </w:rPr>
            </w:pPr>
            <w:r>
              <w:rPr>
                <w:rFonts w:ascii="Times New Roman" w:cs="Times New Roman" w:eastAsia="Times New Roman" w:hAnsi="Times New Roman"/>
                <w:sz w:val="14"/>
                <w:szCs w:val="14"/>
                <w:color w:val="0000EE"/>
                <w:w w:val="95"/>
              </w:rPr>
              <w:t>Industry and Market Data</w:t>
            </w:r>
          </w:p>
        </w:tc>
        <w:tc>
          <w:tcPr>
            <w:tcW w:w="5160" w:type="dxa"/>
            <w:vAlign w:val="bottom"/>
            <w:gridSpan w:val="11"/>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r>
      <w:tr>
        <w:trPr>
          <w:trHeight w:val="143"/>
        </w:trPr>
        <w:tc>
          <w:tcPr>
            <w:tcW w:w="2760" w:type="dxa"/>
            <w:vAlign w:val="bottom"/>
            <w:tcBorders>
              <w:bottom w:val="single" w:sz="8" w:color="0000EE"/>
            </w:tcBorders>
            <w:gridSpan w:val="20"/>
          </w:tcPr>
          <w:p>
            <w:pPr>
              <w:spacing w:after="0" w:line="143" w:lineRule="exact"/>
              <w:rPr>
                <w:sz w:val="20"/>
                <w:szCs w:val="20"/>
                <w:color w:val="auto"/>
              </w:rPr>
            </w:pPr>
            <w:r>
              <w:rPr>
                <w:rFonts w:ascii="Times New Roman" w:cs="Times New Roman" w:eastAsia="Times New Roman" w:hAnsi="Times New Roman"/>
                <w:sz w:val="14"/>
                <w:szCs w:val="14"/>
                <w:color w:val="0000EE"/>
                <w:w w:val="96"/>
              </w:rPr>
              <w:t>Trademarks and Other Intellectual Property Rights</w:t>
            </w:r>
          </w:p>
        </w:tc>
        <w:tc>
          <w:tcPr>
            <w:tcW w:w="3800" w:type="dxa"/>
            <w:vAlign w:val="bottom"/>
            <w:gridSpan w:val="5"/>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r>
      <w:tr>
        <w:trPr>
          <w:trHeight w:val="143"/>
        </w:trPr>
        <w:tc>
          <w:tcPr>
            <w:tcW w:w="116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Basis of Presentation</w:t>
            </w:r>
          </w:p>
        </w:tc>
        <w:tc>
          <w:tcPr>
            <w:tcW w:w="5400" w:type="dxa"/>
            <w:vAlign w:val="bottom"/>
            <w:gridSpan w:val="15"/>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42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3"/>
        </w:trPr>
        <w:tc>
          <w:tcPr>
            <w:tcW w:w="2780" w:type="dxa"/>
            <w:vAlign w:val="bottom"/>
            <w:tcBorders>
              <w:bottom w:val="single" w:sz="8" w:color="0000EE"/>
            </w:tcBorders>
            <w:gridSpan w:val="21"/>
          </w:tcPr>
          <w:p>
            <w:pPr>
              <w:spacing w:after="0" w:line="143" w:lineRule="exact"/>
              <w:rPr>
                <w:sz w:val="20"/>
                <w:szCs w:val="20"/>
                <w:color w:val="auto"/>
              </w:rPr>
            </w:pPr>
            <w:r>
              <w:rPr>
                <w:rFonts w:ascii="Times New Roman" w:cs="Times New Roman" w:eastAsia="Times New Roman" w:hAnsi="Times New Roman"/>
                <w:sz w:val="14"/>
                <w:szCs w:val="14"/>
                <w:color w:val="0000EE"/>
                <w:w w:val="97"/>
              </w:rPr>
              <w:t>Incorporation of Certain Information by Reference</w:t>
            </w:r>
          </w:p>
        </w:tc>
        <w:tc>
          <w:tcPr>
            <w:tcW w:w="3780" w:type="dxa"/>
            <w:vAlign w:val="bottom"/>
            <w:gridSpan w:val="4"/>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143"/>
        </w:trPr>
        <w:tc>
          <w:tcPr>
            <w:tcW w:w="1240" w:type="dxa"/>
            <w:vAlign w:val="bottom"/>
            <w:tcBorders>
              <w:bottom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color w:val="0000EE"/>
                <w:w w:val="95"/>
              </w:rPr>
              <w:t>Dell Technologies Inc.</w:t>
            </w:r>
          </w:p>
        </w:tc>
        <w:tc>
          <w:tcPr>
            <w:tcW w:w="5320" w:type="dxa"/>
            <w:vAlign w:val="bottom"/>
            <w:gridSpan w:val="12"/>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Dell International L.L.C., EMC Corporation and the Additional Registrant Guarantors</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4680" w:type="dxa"/>
            <w:vAlign w:val="bottom"/>
            <w:tcBorders>
              <w:top w:val="single" w:sz="8" w:color="0000EE"/>
            </w:tcBorders>
            <w:gridSpan w:val="24"/>
          </w:tcPr>
          <w:p>
            <w:pPr>
              <w:spacing w:after="0" w:line="143" w:lineRule="exact"/>
              <w:rPr>
                <w:sz w:val="20"/>
                <w:szCs w:val="20"/>
                <w:color w:val="auto"/>
              </w:rPr>
            </w:pPr>
            <w:r>
              <w:rPr>
                <w:rFonts w:ascii="Times New Roman" w:cs="Times New Roman" w:eastAsia="Times New Roman" w:hAnsi="Times New Roman"/>
                <w:sz w:val="14"/>
                <w:szCs w:val="14"/>
                <w:color w:val="0000EE"/>
              </w:rPr>
              <w:t>Corporate Information</w:t>
            </w:r>
          </w:p>
        </w:tc>
        <w:tc>
          <w:tcPr>
            <w:tcW w:w="1880" w:type="dxa"/>
            <w:vAlign w:val="bottom"/>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1200" w:type="dxa"/>
            <w:vAlign w:val="bottom"/>
            <w:tcBorders>
              <w:top w:val="single" w:sz="8" w:color="0000EE"/>
              <w:bottom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4"/>
                <w:szCs w:val="14"/>
                <w:color w:val="0000EE"/>
                <w:w w:val="95"/>
              </w:rPr>
              <w:t>Recent Developments</w:t>
            </w:r>
          </w:p>
        </w:tc>
        <w:tc>
          <w:tcPr>
            <w:tcW w:w="20" w:type="dxa"/>
            <w:vAlign w:val="bottom"/>
            <w:tcBorders>
              <w:top w:val="single" w:sz="8" w:color="0000EE"/>
            </w:tcBorders>
          </w:tcPr>
          <w:p>
            <w:pPr>
              <w:spacing w:after="0"/>
              <w:rPr>
                <w:sz w:val="12"/>
                <w:szCs w:val="12"/>
                <w:color w:val="auto"/>
              </w:rPr>
            </w:pPr>
          </w:p>
        </w:tc>
        <w:tc>
          <w:tcPr>
            <w:tcW w:w="5340" w:type="dxa"/>
            <w:vAlign w:val="bottom"/>
            <w:gridSpan w:val="13"/>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42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r>
      <w:tr>
        <w:trPr>
          <w:trHeight w:val="143"/>
        </w:trPr>
        <w:tc>
          <w:tcPr>
            <w:tcW w:w="1080" w:type="dxa"/>
            <w:vAlign w:val="bottom"/>
            <w:tcBorders>
              <w:top w:val="single" w:sz="8" w:color="0000EE"/>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560" w:type="dxa"/>
            <w:vAlign w:val="bottom"/>
            <w:tcBorders>
              <w:top w:val="single" w:sz="8" w:color="0000EE"/>
            </w:tcBorders>
            <w:gridSpan w:val="7"/>
          </w:tcPr>
          <w:p>
            <w:pPr>
              <w:spacing w:after="0"/>
              <w:rPr>
                <w:sz w:val="12"/>
                <w:szCs w:val="12"/>
                <w:color w:val="auto"/>
              </w:rPr>
            </w:pPr>
          </w:p>
        </w:tc>
        <w:tc>
          <w:tcPr>
            <w:tcW w:w="4920" w:type="dxa"/>
            <w:vAlign w:val="bottom"/>
            <w:gridSpan w:val="10"/>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w:t>
            </w:r>
          </w:p>
        </w:tc>
      </w:tr>
      <w:tr>
        <w:trPr>
          <w:trHeight w:val="143"/>
        </w:trPr>
        <w:tc>
          <w:tcPr>
            <w:tcW w:w="6560" w:type="dxa"/>
            <w:vAlign w:val="bottom"/>
            <w:gridSpan w:val="25"/>
          </w:tcPr>
          <w:p>
            <w:pPr>
              <w:spacing w:after="0" w:line="143" w:lineRule="exact"/>
              <w:rPr>
                <w:sz w:val="20"/>
                <w:szCs w:val="20"/>
                <w:color w:val="auto"/>
              </w:rPr>
            </w:pPr>
            <w:r>
              <w:rPr>
                <w:rFonts w:ascii="Times New Roman" w:cs="Times New Roman" w:eastAsia="Times New Roman" w:hAnsi="Times New Roman"/>
                <w:sz w:val="14"/>
                <w:szCs w:val="14"/>
                <w:color w:val="0000EE"/>
              </w:rPr>
              <w:t>Validity of Securities</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r>
      <w:tr>
        <w:trPr>
          <w:trHeight w:val="143"/>
        </w:trPr>
        <w:tc>
          <w:tcPr>
            <w:tcW w:w="420" w:type="dxa"/>
            <w:vAlign w:val="bottom"/>
            <w:tcBorders>
              <w:top w:val="single" w:sz="8" w:color="0000EE"/>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3"/>
              </w:rPr>
              <w:t>Experts</w:t>
            </w:r>
          </w:p>
        </w:tc>
        <w:tc>
          <w:tcPr>
            <w:tcW w:w="720" w:type="dxa"/>
            <w:vAlign w:val="bottom"/>
            <w:tcBorders>
              <w:top w:val="single" w:sz="8" w:color="0000EE"/>
            </w:tcBorders>
            <w:gridSpan w:val="8"/>
          </w:tcPr>
          <w:p>
            <w:pPr>
              <w:spacing w:after="0"/>
              <w:rPr>
                <w:sz w:val="12"/>
                <w:szCs w:val="12"/>
                <w:color w:val="auto"/>
              </w:rPr>
            </w:pPr>
          </w:p>
        </w:tc>
        <w:tc>
          <w:tcPr>
            <w:tcW w:w="5420" w:type="dxa"/>
            <w:vAlign w:val="bottom"/>
            <w:gridSpan w:val="16"/>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r>
    </w:tbl>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7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0"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and the documents incorporated by reference herein and therein contain “forward-looking statements” within the meaning of Section 27A of the Securities Act of 1933, as amended (the “Securities Act”), and Section 21E of the Securities Exchange Act of 1934, as amended (the “Exchange Act”). The words “may,” “will,” “anticipate,” “estimate,” “expect,” “intend,” “plan,” “aim,” “seek,”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I—Item 1A—Risk Factors” in our Annual Report (the “Annual Report”) on Form 10-K for the fiscal year ended January 30, 2026, in this prospectus supplement and the accompanying prospectus and in our other periodic and current reports filed with the Securities and Exchange Commission (the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152"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These statements regarding future events or our future performance or results inherently are subject to a variety of risks, contingencies and other uncertainties that could cause actual results, performance or achievements to differ materially from those described in or implied by the forward-looking statements. The risks, contingencies and other uncertainties that could cause our business and actual results of operations, financial condition and prospects to differ materially from our expectations include, but are not limited to:</w:t>
      </w:r>
    </w:p>
    <w:p>
      <w:pPr>
        <w:spacing w:after="0" w:line="75" w:lineRule="exact"/>
        <w:rPr>
          <w:sz w:val="20"/>
          <w:szCs w:val="20"/>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global economic conditions and instability in financial markets;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pressures;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of our business units;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our product and component vendors;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single-source or limited-source suppliers;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demands for artificial intelligence (“AI”) solutions;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of our AI solutions and use of AI in our internal functions and operations;</w:t>
      </w:r>
    </w:p>
    <w:p>
      <w:pPr>
        <w:spacing w:after="0" w:line="94" w:lineRule="exact"/>
        <w:rPr>
          <w:rFonts w:ascii="Times New Roman" w:cs="Times New Roman" w:eastAsia="Times New Roman" w:hAnsi="Times New Roman"/>
          <w:sz w:val="14"/>
          <w:szCs w:val="14"/>
          <w:color w:val="auto"/>
        </w:rPr>
      </w:pPr>
    </w:p>
    <w:p>
      <w:pPr>
        <w:ind w:left="2220" w:right="459" w:hanging="334"/>
        <w:spacing w:after="0" w:line="264"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deliver high-quality products, software, and services, or to manage solutions and product and services transitions in an effective manner;</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successfully implement our cost efficiency plans;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incidents, including cyber-attacks;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foreign operations and ability to generate substantial non-U.S. net revenue;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service, customer, and geographic sales mix and seasonal sales trends;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our sales channel partners;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acquisitions and dispositions we pursue;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the capital markets by us or our customers;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 economic conditions, changing customer mix, and additional regulation;</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default risks;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impairments to our goodwill or intangible assets;</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7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659" w:hanging="334"/>
        <w:spacing w:after="0" w:line="26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or reduction of services or rates under, any services contracts with our customers, including government contracts, and our ability to perform such contracts at our estimated costs;</w:t>
      </w:r>
    </w:p>
    <w:p>
      <w:pPr>
        <w:spacing w:after="0" w:line="64" w:lineRule="exact"/>
        <w:rPr>
          <w:rFonts w:ascii="Times New Roman" w:cs="Times New Roman" w:eastAsia="Times New Roman" w:hAnsi="Times New Roman"/>
          <w:sz w:val="14"/>
          <w:szCs w:val="14"/>
          <w:color w:val="auto"/>
        </w:rPr>
      </w:pPr>
    </w:p>
    <w:p>
      <w:pPr>
        <w:ind w:left="2220" w:right="579" w:hanging="334"/>
        <w:spacing w:after="0" w:line="26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protect our proprietary intellectual property or obtain licenses to intellectual property developed by others on commercially reasonable and competitive terms;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disruptions, including disruptions to our information technology and manufacturing infrastructure;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hedge our exposure to fluctuations in foreign currency exchange rates and interest rates;</w:t>
      </w:r>
    </w:p>
    <w:p>
      <w:pPr>
        <w:spacing w:after="0" w:line="94" w:lineRule="exact"/>
        <w:rPr>
          <w:rFonts w:ascii="Times New Roman" w:cs="Times New Roman" w:eastAsia="Times New Roman" w:hAnsi="Times New Roman"/>
          <w:sz w:val="14"/>
          <w:szCs w:val="14"/>
          <w:color w:val="auto"/>
        </w:rPr>
      </w:pPr>
    </w:p>
    <w:p>
      <w:pPr>
        <w:ind w:left="2220" w:right="599" w:hanging="334"/>
        <w:spacing w:after="0" w:line="26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legislative or regulatory tax changes, expiration of tax holidays or favorable tax rate structures, or unfavorable outcomes in tax audits and other tax compliance matters;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fair value or impairment of portfolio investments;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results of legal proceedings;</w:t>
      </w:r>
    </w:p>
    <w:p>
      <w:pPr>
        <w:spacing w:after="0" w:line="94" w:lineRule="exact"/>
        <w:rPr>
          <w:rFonts w:ascii="Times New Roman" w:cs="Times New Roman" w:eastAsia="Times New Roman" w:hAnsi="Times New Roman"/>
          <w:sz w:val="14"/>
          <w:szCs w:val="14"/>
          <w:color w:val="auto"/>
        </w:rPr>
      </w:pPr>
    </w:p>
    <w:p>
      <w:pPr>
        <w:ind w:left="2220" w:right="619" w:hanging="334"/>
        <w:spacing w:after="0" w:line="26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and varied stakeholder expectations and regulatory requirements with respect to sustainability and environmental, social, and governance activities;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climate-related risks and legal, regulatory, or market measures related to climate;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changing environmental and safety laws;</w:t>
      </w:r>
    </w:p>
    <w:p>
      <w:pPr>
        <w:spacing w:after="0" w:line="94" w:lineRule="exact"/>
        <w:rPr>
          <w:rFonts w:ascii="Times New Roman" w:cs="Times New Roman" w:eastAsia="Times New Roman" w:hAnsi="Times New Roman"/>
          <w:sz w:val="14"/>
          <w:szCs w:val="14"/>
          <w:color w:val="auto"/>
        </w:rPr>
      </w:pPr>
    </w:p>
    <w:p>
      <w:pPr>
        <w:ind w:left="2220" w:right="539" w:hanging="334"/>
        <w:spacing w:after="0" w:line="26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requirements of anti-corruption laws, economic sanctions and other trade laws, human rights laws and other laws regulating our international operations;</w:t>
      </w:r>
    </w:p>
    <w:p>
      <w:pPr>
        <w:spacing w:after="0" w:line="64" w:lineRule="exact"/>
        <w:rPr>
          <w:rFonts w:ascii="Times New Roman" w:cs="Times New Roman" w:eastAsia="Times New Roman" w:hAnsi="Times New Roman"/>
          <w:sz w:val="14"/>
          <w:szCs w:val="14"/>
          <w:color w:val="auto"/>
        </w:rPr>
      </w:pPr>
    </w:p>
    <w:p>
      <w:pPr>
        <w:ind w:left="2220" w:right="719" w:hanging="334"/>
        <w:spacing w:after="0" w:line="26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the services of our Chief Executive Officer and our loss of, or inability to continue to attract, retain and motivate, executive talent and other employees;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indebtedness; and</w:t>
      </w:r>
    </w:p>
    <w:p>
      <w:pPr>
        <w:spacing w:after="0" w:line="92" w:lineRule="exact"/>
        <w:rPr>
          <w:rFonts w:ascii="Times New Roman" w:cs="Times New Roman" w:eastAsia="Times New Roman" w:hAnsi="Times New Roman"/>
          <w:sz w:val="14"/>
          <w:szCs w:val="14"/>
          <w:color w:val="auto"/>
        </w:rPr>
      </w:pPr>
    </w:p>
    <w:p>
      <w:pPr>
        <w:ind w:left="2220" w:right="499" w:hanging="334"/>
        <w:spacing w:after="0" w:line="267"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included in or incorporated by reference into this prospectus supplement and the accompanying prospectus.</w:t>
      </w:r>
    </w:p>
    <w:p>
      <w:pPr>
        <w:spacing w:after="0" w:line="134"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Because of these risks, contingencies and other uncertainties, you are cautioned not to place undue reliance on these forward-looking statements, which speak only as of the date made. All subsequent written or oral forward-looking statements attributable to us or any person acting on our behalf are expressly qualified in their entirety by the cautionary statements contained or referred to in this section. While we may elect to update forward-looking statements in the future, we specifically disclaim any obligation to do so, even if our expectations change or if new events, circumstances or information arises, and investors should not rely on those forward-looking statements as representing our views as of any date subsequent to the date of this prospectus supplement, except as may be required under applicable federal securities law.</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7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0" w:lineRule="exact"/>
        <w:rPr>
          <w:sz w:val="20"/>
          <w:szCs w:val="20"/>
          <w:color w:val="auto"/>
        </w:rPr>
      </w:pPr>
    </w:p>
    <w:p>
      <w:pPr>
        <w:jc w:val="both"/>
        <w:ind w:left="1480" w:right="599" w:firstLine="333"/>
        <w:spacing w:after="0" w:line="254" w:lineRule="auto"/>
        <w:rPr>
          <w:sz w:val="20"/>
          <w:szCs w:val="20"/>
          <w:color w:val="auto"/>
        </w:rPr>
      </w:pPr>
      <w:r>
        <w:rPr>
          <w:rFonts w:ascii="Times New Roman" w:cs="Times New Roman" w:eastAsia="Times New Roman" w:hAnsi="Times New Roman"/>
          <w:sz w:val="14"/>
          <w:szCs w:val="14"/>
          <w:color w:val="auto"/>
        </w:rPr>
        <w:t>This document has two parts. The first part consists of this prospectus supplement, which describes the specific terms of this Offering and the notes offered. The second part is the accompanying prospectus dated June 11, 2026. If the description of the Offering varies between this prospectus supplement and the accompanying prospectus, you should rely on the information in this prospectus supplement.</w:t>
      </w:r>
    </w:p>
    <w:p>
      <w:pPr>
        <w:spacing w:after="0" w:line="142" w:lineRule="exact"/>
        <w:rPr>
          <w:sz w:val="20"/>
          <w:szCs w:val="20"/>
          <w:color w:val="auto"/>
        </w:rPr>
      </w:pPr>
    </w:p>
    <w:p>
      <w:pPr>
        <w:ind w:left="1480" w:right="699" w:firstLine="333"/>
        <w:spacing w:after="0" w:line="264" w:lineRule="auto"/>
        <w:rPr>
          <w:sz w:val="20"/>
          <w:szCs w:val="20"/>
          <w:color w:val="auto"/>
        </w:rPr>
      </w:pPr>
      <w:r>
        <w:rPr>
          <w:rFonts w:ascii="Times New Roman" w:cs="Times New Roman" w:eastAsia="Times New Roman" w:hAnsi="Times New Roman"/>
          <w:sz w:val="14"/>
          <w:szCs w:val="14"/>
          <w:color w:val="auto"/>
        </w:rPr>
        <w:t>Before purchasing any notes, you should carefully read both this prospectus supplement and the accompanying prospectus, together with the additional information described under the heading “Incorporation of Certain Information by Reference” below.</w:t>
      </w:r>
    </w:p>
    <w:p>
      <w:pPr>
        <w:spacing w:after="0" w:line="29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filings with the SEC, including the filings that are incorporated by reference into this prospectus supplement or the accompanying prospectus, are available to the public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Investors also may consult our website for more information. Our website is</w:t>
      </w:r>
      <w:r>
        <w:rPr>
          <w:rFonts w:ascii="Times New Roman" w:cs="Times New Roman" w:eastAsia="Times New Roman" w:hAnsi="Times New Roman"/>
          <w:sz w:val="14"/>
          <w:szCs w:val="14"/>
          <w:i w:val="1"/>
          <w:iCs w:val="1"/>
          <w:color w:val="auto"/>
        </w:rPr>
        <w:t xml:space="preserve"> www.dell.com </w:t>
      </w:r>
      <w:r>
        <w:rPr>
          <w:rFonts w:ascii="Times New Roman" w:cs="Times New Roman" w:eastAsia="Times New Roman" w:hAnsi="Times New Roman"/>
          <w:sz w:val="14"/>
          <w:szCs w:val="14"/>
          <w:color w:val="auto"/>
        </w:rPr>
        <w:t>and the Investors page of our website is</w:t>
      </w:r>
      <w:r>
        <w:rPr>
          <w:rFonts w:ascii="Times New Roman" w:cs="Times New Roman" w:eastAsia="Times New Roman" w:hAnsi="Times New Roman"/>
          <w:sz w:val="14"/>
          <w:szCs w:val="14"/>
          <w:i w:val="1"/>
          <w:iCs w:val="1"/>
          <w:color w:val="auto"/>
        </w:rPr>
        <w:t xml:space="preserve"> https://investors.delltechnologies.com</w:t>
      </w:r>
      <w:r>
        <w:rPr>
          <w:rFonts w:ascii="Times New Roman" w:cs="Times New Roman" w:eastAsia="Times New Roman" w:hAnsi="Times New Roman"/>
          <w:sz w:val="14"/>
          <w:szCs w:val="14"/>
          <w:color w:val="auto"/>
        </w:rPr>
        <w:t>. The information contained in, or that may be accessed through, our website is not incorporated by reference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prospectus supplement or the accompanying prospectus.</w:t>
      </w:r>
    </w:p>
    <w:p>
      <w:pPr>
        <w:spacing w:after="0" w:line="30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0"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supplement and the accompanying prospectus, and later information that we file with the SEC will automatically update and supersede this information. We incorporate by reference the documents listed below (other than documents or information deemed to have been furnished and not filed in accordance with SEC rules, unless otherwise expressly incorporated by reference herein):</w:t>
      </w:r>
    </w:p>
    <w:p>
      <w:pPr>
        <w:spacing w:after="0" w:line="77" w:lineRule="exact"/>
        <w:rPr>
          <w:sz w:val="20"/>
          <w:szCs w:val="20"/>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 Technologies’ Annual Report on </w:t>
      </w:r>
      <w:hyperlink r:id="rId1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January 30, 2026;</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 Technologies’ Quarterly Report on </w:t>
      </w:r>
      <w:hyperlink r:id="rId19">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quarterly period ended May 1, 2026;</w:t>
      </w:r>
    </w:p>
    <w:p>
      <w:pPr>
        <w:spacing w:after="0" w:line="94" w:lineRule="exact"/>
        <w:rPr>
          <w:rFonts w:ascii="Times New Roman" w:cs="Times New Roman" w:eastAsia="Times New Roman" w:hAnsi="Times New Roman"/>
          <w:sz w:val="14"/>
          <w:szCs w:val="14"/>
          <w:color w:val="auto"/>
        </w:rPr>
      </w:pPr>
    </w:p>
    <w:p>
      <w:pPr>
        <w:ind w:left="2220" w:right="699" w:hanging="334"/>
        <w:spacing w:after="0" w:line="264"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Those portions of our </w:t>
      </w:r>
      <w:hyperlink r:id="rId20">
        <w:r>
          <w:rPr>
            <w:rFonts w:ascii="Times New Roman" w:cs="Times New Roman" w:eastAsia="Times New Roman" w:hAnsi="Times New Roman"/>
            <w:sz w:val="14"/>
            <w:szCs w:val="14"/>
            <w:u w:val="single" w:color="auto"/>
            <w:color w:val="0000EE"/>
          </w:rPr>
          <w:t>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our 2026 Annual Meeting of Stockholders filed on May 15, 2026 that are incorporated by reference into Dell Technologies’ Annual Report on </w:t>
      </w:r>
      <w:hyperlink r:id="rId1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January 30, 2026; and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 Technologies’ Current Reports on Form 8-K filed with the SEC on </w:t>
      </w:r>
      <w:hyperlink r:id="rId21">
        <w:r>
          <w:rPr>
            <w:rFonts w:ascii="Times New Roman" w:cs="Times New Roman" w:eastAsia="Times New Roman" w:hAnsi="Times New Roman"/>
            <w:sz w:val="14"/>
            <w:szCs w:val="14"/>
            <w:u w:val="single" w:color="auto"/>
            <w:color w:val="0000EE"/>
          </w:rPr>
          <w:t>April 20,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2">
        <w:r>
          <w:rPr>
            <w:rFonts w:ascii="Times New Roman" w:cs="Times New Roman" w:eastAsia="Times New Roman" w:hAnsi="Times New Roman"/>
            <w:sz w:val="14"/>
            <w:szCs w:val="14"/>
            <w:u w:val="single" w:color="auto"/>
            <w:color w:val="0000EE"/>
          </w:rPr>
          <w:t>June 10, 2026</w:t>
        </w:r>
      </w:hyperlink>
      <w:r>
        <w:rPr>
          <w:rFonts w:ascii="Times New Roman" w:cs="Times New Roman" w:eastAsia="Times New Roman" w:hAnsi="Times New Roman"/>
          <w:sz w:val="14"/>
          <w:szCs w:val="14"/>
          <w:color w:val="auto"/>
        </w:rPr>
        <w:t>.</w:t>
      </w:r>
    </w:p>
    <w:p>
      <w:pPr>
        <w:spacing w:after="0" w:line="166" w:lineRule="exact"/>
        <w:rPr>
          <w:rFonts w:ascii="Times New Roman" w:cs="Times New Roman" w:eastAsia="Times New Roman" w:hAnsi="Times New Roman"/>
          <w:sz w:val="14"/>
          <w:szCs w:val="14"/>
          <w:color w:val="auto"/>
        </w:rPr>
      </w:pPr>
    </w:p>
    <w:p>
      <w:pPr>
        <w:ind w:left="1480" w:right="699" w:firstLine="333"/>
        <w:spacing w:after="0" w:line="250" w:lineRule="auto"/>
        <w:rPr>
          <w:sz w:val="20"/>
          <w:szCs w:val="20"/>
          <w:color w:val="auto"/>
        </w:rPr>
      </w:pPr>
      <w:r>
        <w:rPr>
          <w:rFonts w:ascii="Times New Roman" w:cs="Times New Roman" w:eastAsia="Times New Roman" w:hAnsi="Times New Roman"/>
          <w:sz w:val="14"/>
          <w:szCs w:val="14"/>
          <w:color w:val="auto"/>
        </w:rPr>
        <w:t>We also incorporate by reference all documents that we subsequently file with the SEC pursuant to Section 13(a), 13(c), 14 or 15(d) of the Exchange Act on or after the date of this prospectus supplement and prior to the termination of the Offering of the notes hereunder. Nothing in this prospectus supplement or the accompanying prospectus shall be deemed to incorporate information furnished but not filed with the SEC, unless specifically noted otherwise.</w:t>
      </w:r>
    </w:p>
    <w:p>
      <w:pPr>
        <w:spacing w:after="0" w:line="146" w:lineRule="exact"/>
        <w:rPr>
          <w:rFonts w:ascii="Times New Roman" w:cs="Times New Roman" w:eastAsia="Times New Roman" w:hAnsi="Times New Roman"/>
          <w:sz w:val="14"/>
          <w:szCs w:val="14"/>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Any statement made in this prospectus supplement or the accompanying prospectus or in a document incorporated by reference into this prospectus supplement or the accompanying prospectus will be deemed to be modified or superseded for purposes of this prospectus supplement to the extent that a statement contained in this prospectus supplement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98"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7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Dell Technologies Inc.</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One Dell Way</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Round Rock, Texas 78682</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(512) 728-7800</w:t>
      </w:r>
    </w:p>
    <w:p>
      <w:pPr>
        <w:spacing w:after="0" w:line="1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In addition, you may access the documents incorporated by reference herein free of charge on the SEC’s website.</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7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INDUSTRY AND MARKET DATA</w:t>
      </w:r>
    </w:p>
    <w:p>
      <w:pPr>
        <w:spacing w:after="0" w:line="170" w:lineRule="exact"/>
        <w:rPr>
          <w:sz w:val="20"/>
          <w:szCs w:val="20"/>
          <w:color w:val="auto"/>
        </w:rPr>
      </w:pPr>
    </w:p>
    <w:p>
      <w:pPr>
        <w:ind w:left="1480" w:right="419" w:firstLine="333"/>
        <w:spacing w:after="0" w:line="246" w:lineRule="auto"/>
        <w:rPr>
          <w:sz w:val="20"/>
          <w:szCs w:val="20"/>
          <w:color w:val="auto"/>
        </w:rPr>
      </w:pPr>
      <w:r>
        <w:rPr>
          <w:rFonts w:ascii="Times New Roman" w:cs="Times New Roman" w:eastAsia="Times New Roman" w:hAnsi="Times New Roman"/>
          <w:sz w:val="14"/>
          <w:szCs w:val="14"/>
          <w:color w:val="auto"/>
        </w:rPr>
        <w:t>This prospectus supplement includes and incorporates by reference information with respect to market share and other industry-related and statistical information, which are based on information from independent industry organizations and other third-party sources. We also have derived some industry and market information from our internal analysis based upon data available from such independent and third-party sources and our internal research. We believe such information to be accurate as of the date of this prospectus supplement. However, this information is subject to the limits on the availability and reliability of raw data, the voluntary nature of the data gathering process and other limitations and uncertainties. In addition, our internal research is based upon our understanding of industry conditions, and such information has not been verified by any independent sources. Neither we nor the underwriters can guarantee the accuracy or completeness of any such information contained or incorporated by reference in this prospectus supplement. Such information also involves risks and uncertainties and is subject to change based on various factors, including those discussed under the heading “Cautionary Note Regarding Forward-Looking Statements.”</w:t>
      </w:r>
    </w:p>
    <w:p>
      <w:pPr>
        <w:spacing w:after="0" w:line="30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TRADEMARKS AND OTHER INTELLECTUAL PROPERTY RIGHTS</w:t>
      </w:r>
    </w:p>
    <w:p>
      <w:pPr>
        <w:spacing w:after="0" w:line="170" w:lineRule="exact"/>
        <w:rPr>
          <w:sz w:val="20"/>
          <w:szCs w:val="20"/>
          <w:color w:val="auto"/>
        </w:rPr>
      </w:pPr>
    </w:p>
    <w:p>
      <w:pPr>
        <w:ind w:left="1480" w:right="499" w:firstLine="333"/>
        <w:spacing w:after="0" w:line="247" w:lineRule="auto"/>
        <w:rPr>
          <w:sz w:val="20"/>
          <w:szCs w:val="20"/>
          <w:color w:val="auto"/>
        </w:rPr>
      </w:pPr>
      <w:r>
        <w:rPr>
          <w:rFonts w:ascii="Times New Roman" w:cs="Times New Roman" w:eastAsia="Times New Roman" w:hAnsi="Times New Roman"/>
          <w:sz w:val="14"/>
          <w:szCs w:val="14"/>
          <w:color w:val="auto"/>
        </w:rPr>
        <w:t>We own or have rights to trademarks, service marks or trade names that we use in connection with the operation of our business. Certain trademarks and/or trade names are subject to registrations or applications to register with the United States Patent and Trademark Office or the equivalent in certain foreign jurisdictions, while others are not subject to registration but are protected by common law rights. These registered and unregistered marks include our corporate names, logos and website names used herein. Each trademark, service mark or trade name by any other company appearing in this prospectus supplement or the accompanying prospectus (or in documents we have incorporated by reference) belongs to its owner.</w:t>
      </w:r>
    </w:p>
    <w:p>
      <w:pPr>
        <w:spacing w:after="0" w:line="150" w:lineRule="exact"/>
        <w:rPr>
          <w:sz w:val="20"/>
          <w:szCs w:val="20"/>
          <w:color w:val="auto"/>
        </w:rPr>
      </w:pPr>
    </w:p>
    <w:p>
      <w:pPr>
        <w:ind w:left="1480" w:right="379" w:firstLine="333"/>
        <w:spacing w:after="0" w:line="227" w:lineRule="auto"/>
        <w:rPr>
          <w:sz w:val="20"/>
          <w:szCs w:val="20"/>
          <w:color w:val="auto"/>
        </w:rPr>
      </w:pPr>
      <w:r>
        <w:rPr>
          <w:rFonts w:ascii="Times New Roman" w:cs="Times New Roman" w:eastAsia="Times New Roman" w:hAnsi="Times New Roman"/>
          <w:sz w:val="14"/>
          <w:szCs w:val="14"/>
          <w:color w:val="auto"/>
        </w:rPr>
        <w:t xml:space="preserve">Solely for convenience, trademarks, service marks and trade names referred to in this prospectus supplement or the accompanying prospectus (or in documents we have incorporated by reference)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TM or SM symbols, but such references are not intended to indicate, in any way, that we will not assert, to the fullest extent under applicable law, our rights or the rights of the applicable licensors to these trademarks, service marks or trade names. We do not intend our use or display of other parties’ trademarks, service marks or trade names to imply, and such use or display should not be construed to imply, a relationship with, or endorsement or sponsorship of us by, those other parties.</w:t>
      </w:r>
    </w:p>
    <w:p>
      <w:pPr>
        <w:spacing w:after="0" w:line="31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70" w:lineRule="exact"/>
        <w:rPr>
          <w:sz w:val="20"/>
          <w:szCs w:val="20"/>
          <w:color w:val="auto"/>
        </w:rPr>
      </w:pPr>
    </w:p>
    <w:p>
      <w:pPr>
        <w:ind w:left="1480" w:right="519" w:firstLine="333"/>
        <w:spacing w:after="0" w:line="250"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include and incorporate by reference the historical financial statements and other financial data of Dell Technologies, a guarantor of the notes offered hereby. Each of the Issuers is a direct wholly-owned subsidiary of Dell Inc., a guarantor of the notes offered hereby, and an indirect wholly-owned subsidiary of Dell Technologies. No separate financial information has been provided in this prospectus supplement for Dell International or EMC.</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Unless otherwise indicated or as the context otherwise requires, a reference in this prospectus supplement or the accompanying prospectus to:</w:t>
      </w:r>
    </w:p>
    <w:p>
      <w:pPr>
        <w:spacing w:after="0" w:line="94" w:lineRule="exact"/>
        <w:rPr>
          <w:sz w:val="20"/>
          <w:szCs w:val="20"/>
          <w:color w:val="auto"/>
        </w:rPr>
      </w:pPr>
    </w:p>
    <w:p>
      <w:pPr>
        <w:ind w:left="2220" w:hanging="334"/>
        <w:spacing w:after="0"/>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“Code” refers to the Internal Revenue Code of 1986, as amended;</w:t>
      </w:r>
    </w:p>
    <w:p>
      <w:pPr>
        <w:spacing w:after="0" w:line="94" w:lineRule="exact"/>
        <w:rPr>
          <w:rFonts w:ascii="Times New Roman" w:cs="Times New Roman" w:eastAsia="Times New Roman" w:hAnsi="Times New Roman"/>
          <w:sz w:val="14"/>
          <w:szCs w:val="14"/>
          <w:color w:val="auto"/>
        </w:rPr>
      </w:pPr>
    </w:p>
    <w:p>
      <w:pPr>
        <w:ind w:left="2220" w:right="379" w:hanging="334"/>
        <w:spacing w:after="0" w:line="264"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“Dell Technologies,” “we,” “our” or “us” refers to Dell Technologies Inc., a Delaware corporation, or, as the context requires, to Dell Technologies Inc. and its consolidated subsidiaries;</w:t>
      </w:r>
    </w:p>
    <w:p>
      <w:pPr>
        <w:spacing w:after="0" w:line="64" w:lineRule="exact"/>
        <w:rPr>
          <w:rFonts w:ascii="Times New Roman" w:cs="Times New Roman" w:eastAsia="Times New Roman" w:hAnsi="Times New Roman"/>
          <w:sz w:val="14"/>
          <w:szCs w:val="14"/>
          <w:color w:val="auto"/>
        </w:rPr>
      </w:pPr>
    </w:p>
    <w:p>
      <w:pPr>
        <w:ind w:left="2220" w:right="519" w:hanging="334"/>
        <w:spacing w:after="0" w:line="264"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“Dell” refers to Dell Inc., a Delaware corporation and wholly-owned subsidiary of Dell Technologies, or, as the context requires, to Dell Inc. and its consolidated subsidiaries;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7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839" w:hanging="334"/>
        <w:spacing w:after="0" w:line="264"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“Dell International” refers to Dell International L.L.C., a Delaware limited liability company and wholly-owned subsidiary of Dell Technologies, or, as the context requires, to Dell International L.L.C. and its consolidated subsidiaries;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“Denali Intermediate” refers to Denali Intermediate Inc., a Delaware corporation and wholly-owned subsidiary of Dell Technologies;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“DFS” refers to Dell Financial Services L.L.C. and its affiliates;</w:t>
      </w:r>
    </w:p>
    <w:p>
      <w:pPr>
        <w:spacing w:after="0" w:line="94" w:lineRule="exact"/>
        <w:rPr>
          <w:rFonts w:ascii="Times New Roman" w:cs="Times New Roman" w:eastAsia="Times New Roman" w:hAnsi="Times New Roman"/>
          <w:sz w:val="14"/>
          <w:szCs w:val="14"/>
          <w:color w:val="auto"/>
        </w:rPr>
      </w:pPr>
    </w:p>
    <w:p>
      <w:pPr>
        <w:ind w:left="2220" w:right="559" w:hanging="334"/>
        <w:spacing w:after="0" w:line="254"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“DFS debt” primarily refers to debt issued from time to time, which is non-recourse to the Company and represents borrowings under securitization programs and structured financing programs, for which the Company’s risk of loss is limited to transferred loan and lease payments and associated equipment. As of May 1, 2026, approximately $9.3 billion of DFS debt was outstanding;</w:t>
      </w:r>
    </w:p>
    <w:p>
      <w:pPr>
        <w:spacing w:after="0" w:line="70" w:lineRule="exact"/>
        <w:rPr>
          <w:rFonts w:ascii="Times New Roman" w:cs="Times New Roman" w:eastAsia="Times New Roman" w:hAnsi="Times New Roman"/>
          <w:sz w:val="14"/>
          <w:szCs w:val="14"/>
          <w:color w:val="auto"/>
        </w:rPr>
      </w:pPr>
    </w:p>
    <w:p>
      <w:pPr>
        <w:ind w:left="2220" w:right="599" w:hanging="334"/>
        <w:spacing w:after="0" w:line="264"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“EMC” refers to EMC Corporation, a Massachusetts corporation and wholly-owned subsidiary of Dell Technologies, or, as the context requires, to EMC Corporation and its consolidated subsidiaries;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notes” refers to the Senior Notes and the Legacy Notes;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“guarantors” refers to the Company, Dell and Denali Intermediate;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“issuers” refers to Dell International and EMC and not to any of their subsidiaries;</w:t>
      </w:r>
    </w:p>
    <w:p>
      <w:pPr>
        <w:spacing w:after="0" w:line="94" w:lineRule="exact"/>
        <w:rPr>
          <w:rFonts w:ascii="Times New Roman" w:cs="Times New Roman" w:eastAsia="Times New Roman" w:hAnsi="Times New Roman"/>
          <w:sz w:val="14"/>
          <w:szCs w:val="14"/>
          <w:color w:val="auto"/>
        </w:rPr>
      </w:pPr>
    </w:p>
    <w:p>
      <w:pPr>
        <w:ind w:left="2220" w:right="419" w:hanging="334"/>
        <w:spacing w:after="0" w:line="264"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Notes” refers, collectively, to the 7.10% Senior Debentures due 2028, 6.50% Senior Notes due 2038 and 5.40% Senior Notes due 2040 issued by Dell, which are not guaranteed by any subsidiary or parent entity of Dell;</w:t>
      </w:r>
    </w:p>
    <w:p>
      <w:pPr>
        <w:spacing w:after="0" w:line="64" w:lineRule="exact"/>
        <w:rPr>
          <w:rFonts w:ascii="Times New Roman" w:cs="Times New Roman" w:eastAsia="Times New Roman" w:hAnsi="Times New Roman"/>
          <w:sz w:val="14"/>
          <w:szCs w:val="14"/>
          <w:color w:val="auto"/>
        </w:rPr>
      </w:pPr>
    </w:p>
    <w:p>
      <w:pPr>
        <w:ind w:left="2220" w:right="979" w:hanging="334"/>
        <w:spacing w:after="0" w:line="264"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revolving credit facility” refers to our $6.0 billion unsecured revolving credit facility described under “Summary—Recent Developments”;</w:t>
      </w:r>
    </w:p>
    <w:p>
      <w:pPr>
        <w:spacing w:after="0" w:line="64" w:lineRule="exact"/>
        <w:rPr>
          <w:rFonts w:ascii="Times New Roman" w:cs="Times New Roman" w:eastAsia="Times New Roman" w:hAnsi="Times New Roman"/>
          <w:sz w:val="14"/>
          <w:szCs w:val="14"/>
          <w:color w:val="auto"/>
        </w:rPr>
      </w:pPr>
    </w:p>
    <w:p>
      <w:pPr>
        <w:ind w:left="2220" w:right="359" w:hanging="334"/>
        <w:spacing w:after="0" w:line="246"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Notes” refers, collectively, to the 4.900% Senior Notes due 2026, the 6.100% Senior Notes due 2027, the 5.250% Senior Notes due 2028, the 4.750% Senior Notes due 2028, the 4.150% Senior Notes due 2029, the 5.300% Senior Notes due 2029, the 6.200% Senior Notes due 2030, the 4.350% Senior Notes due 2030, the 5.000% Senior Notes due 2030, the 4.500% Senior Notes due 2031, the 4.750% Senior Notes due 2032, the 5.300% Senior Notes due 2032, the 5.750% Senior Notes due 2033, the 5.400% Senior Notes due 2034, the 4.850% Senior Notes due 2035, the 5.500% Senior Notes due 2035, the 5.100% Senior Notes due 2036, the 8.100% Senior Notes due 2036, the 3.375% Senior Notes due 2041, the 8.350% Senior Notes due 2046 and the 3.450% Senior Notes due 2051 co-issued by Dell International and EMC, which are guaranteed by Dell Technologies, Denali Intermediate, and Dell Inc. Following our achievement of an investment grade rating, all of the collateral previously securing the Senior Notes outstanding as of that date was released and, as a result, the Senior Notes are currently unsecured; and</w:t>
      </w:r>
    </w:p>
    <w:p>
      <w:pPr>
        <w:spacing w:after="0" w:line="77"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“underwriters” refers to the firms the marketing names of which are listed on the cover of this prospectus supplement.</w:t>
      </w:r>
    </w:p>
    <w:p>
      <w:pPr>
        <w:spacing w:after="0" w:line="166" w:lineRule="exact"/>
        <w:rPr>
          <w:sz w:val="20"/>
          <w:szCs w:val="20"/>
          <w:color w:val="auto"/>
        </w:rPr>
      </w:pPr>
    </w:p>
    <w:p>
      <w:pPr>
        <w:ind w:left="1480" w:right="959" w:firstLine="333"/>
        <w:spacing w:after="0" w:line="264" w:lineRule="auto"/>
        <w:rPr>
          <w:sz w:val="20"/>
          <w:szCs w:val="20"/>
          <w:color w:val="auto"/>
        </w:rPr>
      </w:pPr>
      <w:r>
        <w:rPr>
          <w:rFonts w:ascii="Times New Roman" w:cs="Times New Roman" w:eastAsia="Times New Roman" w:hAnsi="Times New Roman"/>
          <w:sz w:val="14"/>
          <w:szCs w:val="14"/>
          <w:color w:val="auto"/>
        </w:rPr>
        <w:t>Dell Technologies’ fiscal year is the 52- or 53-week period ending on the Friday nearest January 31. As used throughout this prospectus supplement and the accompanying prospectus:</w:t>
      </w:r>
    </w:p>
    <w:p>
      <w:pPr>
        <w:spacing w:after="0" w:line="65" w:lineRule="exact"/>
        <w:rPr>
          <w:sz w:val="20"/>
          <w:szCs w:val="20"/>
          <w:color w:val="auto"/>
        </w:rPr>
      </w:pPr>
    </w:p>
    <w:p>
      <w:pPr>
        <w:ind w:left="2220" w:hanging="334"/>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2026” refers to Dell Technologies’ fiscal year ended January 30, 2026.</w:t>
      </w:r>
    </w:p>
    <w:p>
      <w:pPr>
        <w:spacing w:after="0" w:line="166"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Numerical figures included in or incorporated by reference into this prospectus supplement and the accompanying prospectus have been subject to rounding adjustments. Accordingly, numerical figures shown as totals in various tables may not represent arithmetic aggregations of the figures that precede them.</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7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53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297805" cy="4538980"/>
                    </a:xfrm>
                    <a:prstGeom prst="rect">
                      <a:avLst/>
                    </a:prstGeom>
                    <a:noFill/>
                  </pic:spPr>
                </pic:pic>
              </a:graphicData>
            </a:graphic>
          </wp:anchor>
        </w:drawing>
      </w:r>
    </w:p>
    <w:p>
      <w:pPr>
        <w:spacing w:after="0" w:line="3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0" w:lineRule="exact"/>
        <w:rPr>
          <w:sz w:val="20"/>
          <w:szCs w:val="20"/>
          <w:color w:val="auto"/>
        </w:rPr>
      </w:pPr>
    </w:p>
    <w:p>
      <w:pPr>
        <w:ind w:left="1620" w:right="579" w:firstLine="322"/>
        <w:spacing w:after="0" w:line="254" w:lineRule="auto"/>
        <w:rPr>
          <w:sz w:val="20"/>
          <w:szCs w:val="20"/>
          <w:color w:val="auto"/>
        </w:rPr>
      </w:pPr>
      <w:r>
        <w:rPr>
          <w:rFonts w:ascii="Times New Roman" w:cs="Times New Roman" w:eastAsia="Times New Roman" w:hAnsi="Times New Roman"/>
          <w:sz w:val="14"/>
          <w:szCs w:val="14"/>
          <w:color w:val="auto"/>
        </w:rPr>
        <w:t>This summary highlights selected information about the Offering and our business. It does not contain all of the information that you should consider before investing in the notes. You should carefully read this entire prospectus supplement, including the section entitled “Risk Factors,” the accompanying prospectus and the documents incorporated herein by reference, before making an investment decision.</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Overview of Dell Technologies</w:t>
      </w:r>
    </w:p>
    <w:p>
      <w:pPr>
        <w:spacing w:after="0" w:line="170" w:lineRule="exact"/>
        <w:rPr>
          <w:sz w:val="20"/>
          <w:szCs w:val="20"/>
          <w:color w:val="auto"/>
        </w:rPr>
      </w:pPr>
    </w:p>
    <w:p>
      <w:pPr>
        <w:ind w:left="1620" w:right="519" w:firstLine="322"/>
        <w:spacing w:after="0" w:line="247" w:lineRule="auto"/>
        <w:rPr>
          <w:sz w:val="20"/>
          <w:szCs w:val="20"/>
          <w:color w:val="auto"/>
        </w:rPr>
      </w:pPr>
      <w:r>
        <w:rPr>
          <w:rFonts w:ascii="Times New Roman" w:cs="Times New Roman" w:eastAsia="Times New Roman" w:hAnsi="Times New Roman"/>
          <w:sz w:val="14"/>
          <w:szCs w:val="14"/>
          <w:color w:val="auto"/>
        </w:rPr>
        <w:t>Dell Technologies is a leader in the global technology industry focused on providing broad and innovative technology solutions for the data and AI era. These solutions range from client devices and peripherals to infrastructure solutions across servers, networking, and storage to meet the evolving needs of our customers and drive better business outcomes. With our extensive portfolio and commitment to innovation, we design, deploy, and support secure, integrated solutions that extend from the edge to the core to the cloud. We deliver AI-optimized, software-defined, and cloud native infrastructure solutions across a broad partner ecosystem to help customers address evolving information technology (“IT”) needs, drive outcomes, and capture growth as customer spending priorities evolve.</w:t>
      </w:r>
    </w:p>
    <w:p>
      <w:pPr>
        <w:spacing w:after="0" w:line="150" w:lineRule="exact"/>
        <w:rPr>
          <w:sz w:val="20"/>
          <w:szCs w:val="20"/>
          <w:color w:val="auto"/>
        </w:rPr>
      </w:pPr>
    </w:p>
    <w:p>
      <w:pPr>
        <w:ind w:left="1620" w:right="539" w:firstLine="322"/>
        <w:spacing w:after="0" w:line="297" w:lineRule="auto"/>
        <w:rPr>
          <w:sz w:val="20"/>
          <w:szCs w:val="20"/>
          <w:color w:val="auto"/>
        </w:rPr>
      </w:pPr>
      <w:r>
        <w:rPr>
          <w:rFonts w:ascii="Times New Roman" w:cs="Times New Roman" w:eastAsia="Times New Roman" w:hAnsi="Times New Roman"/>
          <w:sz w:val="12"/>
          <w:szCs w:val="12"/>
          <w:color w:val="auto"/>
        </w:rPr>
        <w:t>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w:t>
      </w:r>
    </w:p>
    <w:p>
      <w:pPr>
        <w:spacing w:after="0" w:line="119" w:lineRule="exact"/>
        <w:rPr>
          <w:sz w:val="20"/>
          <w:szCs w:val="20"/>
          <w:color w:val="auto"/>
        </w:rPr>
      </w:pPr>
    </w:p>
    <w:p>
      <w:pPr>
        <w:ind w:left="1620" w:right="659" w:firstLine="322"/>
        <w:spacing w:after="0" w:line="349" w:lineRule="auto"/>
        <w:rPr>
          <w:sz w:val="20"/>
          <w:szCs w:val="20"/>
          <w:color w:val="auto"/>
        </w:rPr>
      </w:pPr>
      <w:r>
        <w:rPr>
          <w:rFonts w:ascii="Times New Roman" w:cs="Times New Roman" w:eastAsia="Times New Roman" w:hAnsi="Times New Roman"/>
          <w:sz w:val="12"/>
          <w:szCs w:val="12"/>
          <w:color w:val="auto"/>
        </w:rPr>
        <w:t>We offer customers choice in how they acquire our solutions, including utility, subscription, as-a-Service, leases, loans, and immediate pay models. These options allow our customers to pay upfront or over time, providing them with operational and financial flexibility.</w:t>
      </w:r>
    </w:p>
    <w:p>
      <w:pPr>
        <w:spacing w:after="0" w:line="89" w:lineRule="exact"/>
        <w:rPr>
          <w:sz w:val="20"/>
          <w:szCs w:val="20"/>
          <w:color w:val="auto"/>
        </w:rPr>
      </w:pPr>
    </w:p>
    <w:p>
      <w:pPr>
        <w:ind w:left="1620" w:right="499" w:firstLine="322"/>
        <w:spacing w:after="0" w:line="254" w:lineRule="auto"/>
        <w:rPr>
          <w:sz w:val="20"/>
          <w:szCs w:val="20"/>
          <w:color w:val="auto"/>
        </w:rPr>
      </w:pPr>
      <w:r>
        <w:rPr>
          <w:rFonts w:ascii="Times New Roman" w:cs="Times New Roman" w:eastAsia="Times New Roman" w:hAnsi="Times New Roman"/>
          <w:sz w:val="14"/>
          <w:szCs w:val="14"/>
          <w:color w:val="auto"/>
        </w:rPr>
        <w:t>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w:t>
      </w:r>
    </w:p>
    <w:p>
      <w:pPr>
        <w:spacing w:after="0" w:line="142" w:lineRule="exact"/>
        <w:rPr>
          <w:sz w:val="20"/>
          <w:szCs w:val="20"/>
          <w:color w:val="auto"/>
        </w:rPr>
      </w:pPr>
    </w:p>
    <w:p>
      <w:pPr>
        <w:ind w:left="1620" w:right="599" w:firstLine="322"/>
        <w:spacing w:after="0" w:line="254" w:lineRule="auto"/>
        <w:rPr>
          <w:sz w:val="20"/>
          <w:szCs w:val="20"/>
          <w:color w:val="auto"/>
        </w:rPr>
      </w:pPr>
      <w:r>
        <w:rPr>
          <w:rFonts w:ascii="Times New Roman" w:cs="Times New Roman" w:eastAsia="Times New Roman" w:hAnsi="Times New Roman"/>
          <w:sz w:val="14"/>
          <w:szCs w:val="14"/>
          <w:color w:val="auto"/>
        </w:rPr>
        <w:t>We believe we are well-positioned in our industry and that our results will continue to benefit from our operational advantages, which position us for long-term growth and value creation while keeping our purpose at the forefront of our decision-making: to create technologies that drive human progress.</w:t>
      </w:r>
    </w:p>
    <w:p>
      <w:pPr>
        <w:spacing w:after="0" w:line="142" w:lineRule="exact"/>
        <w:rPr>
          <w:sz w:val="20"/>
          <w:szCs w:val="20"/>
          <w:color w:val="auto"/>
        </w:rPr>
      </w:pPr>
    </w:p>
    <w:p>
      <w:pPr>
        <w:ind w:left="1620" w:right="639" w:firstLine="322"/>
        <w:spacing w:after="0" w:line="254" w:lineRule="auto"/>
        <w:rPr>
          <w:sz w:val="20"/>
          <w:szCs w:val="20"/>
          <w:color w:val="auto"/>
        </w:rPr>
      </w:pPr>
      <w:r>
        <w:rPr>
          <w:rFonts w:ascii="Times New Roman" w:cs="Times New Roman" w:eastAsia="Times New Roman" w:hAnsi="Times New Roman"/>
          <w:sz w:val="14"/>
          <w:szCs w:val="14"/>
          <w:color w:val="auto"/>
        </w:rPr>
        <w:t>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w:t>
      </w:r>
    </w:p>
    <w:p>
      <w:pPr>
        <w:spacing w:after="0" w:line="142" w:lineRule="exact"/>
        <w:rPr>
          <w:sz w:val="20"/>
          <w:szCs w:val="20"/>
          <w:color w:val="auto"/>
        </w:rPr>
      </w:pPr>
    </w:p>
    <w:p>
      <w:pPr>
        <w:ind w:left="1620" w:right="579" w:firstLine="322"/>
        <w:spacing w:after="0" w:line="250" w:lineRule="auto"/>
        <w:rPr>
          <w:sz w:val="20"/>
          <w:szCs w:val="20"/>
          <w:color w:val="auto"/>
        </w:rPr>
      </w:pPr>
      <w:r>
        <w:rPr>
          <w:rFonts w:ascii="Times New Roman" w:cs="Times New Roman" w:eastAsia="Times New Roman" w:hAnsi="Times New Roman"/>
          <w:sz w:val="14"/>
          <w:szCs w:val="14"/>
          <w:color w:val="auto"/>
        </w:rPr>
        <w:t>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differentiated operating advantages, our leadership,</w:t>
      </w: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7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694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297805" cy="4694555"/>
                    </a:xfrm>
                    <a:prstGeom prst="rect">
                      <a:avLst/>
                    </a:prstGeom>
                    <a:noFill/>
                  </pic:spPr>
                </pic:pic>
              </a:graphicData>
            </a:graphic>
          </wp:anchor>
        </w:drawing>
      </w:r>
    </w:p>
    <w:p>
      <w:pPr>
        <w:spacing w:after="0" w:line="354" w:lineRule="exact"/>
        <w:rPr>
          <w:sz w:val="20"/>
          <w:szCs w:val="20"/>
          <w:color w:val="auto"/>
        </w:rPr>
      </w:pPr>
    </w:p>
    <w:p>
      <w:pPr>
        <w:ind w:left="1620" w:right="599"/>
        <w:spacing w:after="0" w:line="264" w:lineRule="auto"/>
        <w:rPr>
          <w:sz w:val="20"/>
          <w:szCs w:val="20"/>
          <w:color w:val="auto"/>
        </w:rPr>
      </w:pPr>
      <w:r>
        <w:rPr>
          <w:rFonts w:ascii="Times New Roman" w:cs="Times New Roman" w:eastAsia="Times New Roman" w:hAnsi="Times New Roman"/>
          <w:sz w:val="14"/>
          <w:szCs w:val="14"/>
          <w:color w:val="auto"/>
        </w:rPr>
        <w:t>and our way of doing business provide a foundation to foster growth, drive efficiencies, and capitalize on each successive wave of innovation in a dynamic industry.</w:t>
      </w:r>
    </w:p>
    <w:p>
      <w:pPr>
        <w:spacing w:after="0" w:line="29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Overview of Dell International, EMC, Denali Intermediate and Dell</w:t>
      </w:r>
    </w:p>
    <w:p>
      <w:pPr>
        <w:spacing w:after="0" w:line="170" w:lineRule="exact"/>
        <w:rPr>
          <w:sz w:val="20"/>
          <w:szCs w:val="20"/>
          <w:color w:val="auto"/>
        </w:rPr>
      </w:pPr>
    </w:p>
    <w:p>
      <w:pPr>
        <w:ind w:left="1620" w:right="659" w:firstLine="322"/>
        <w:spacing w:after="0" w:line="248" w:lineRule="auto"/>
        <w:rPr>
          <w:sz w:val="20"/>
          <w:szCs w:val="20"/>
          <w:color w:val="auto"/>
        </w:rPr>
      </w:pPr>
      <w:r>
        <w:rPr>
          <w:rFonts w:ascii="Times New Roman" w:cs="Times New Roman" w:eastAsia="Times New Roman" w:hAnsi="Times New Roman"/>
          <w:sz w:val="14"/>
          <w:szCs w:val="14"/>
          <w:color w:val="auto"/>
        </w:rPr>
        <w:t>Each of Dell International and EMC is a direct wholly-owned subsidiary of Dell and an indirect wholly- owned consolidated subsidiary of Dell Technologies. With respect to the additional guarantors, Denali Intermediate is a direct wholly-owned consolidated subsidiary of Dell Technologies, and Dell is a direct wholly-owned subsidiary of Denali Intermediate and an indirect wholly-owned consolidated subsidiary of Dell Technologies. Dell International, EMC, Denali Intermediate and Dell are holding companies that directly or indirectly hold all of the operating subsidiaries of Dell Technologies.</w:t>
      </w:r>
    </w:p>
    <w:p>
      <w:pPr>
        <w:spacing w:after="0" w:line="30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0" w:lineRule="exact"/>
        <w:rPr>
          <w:sz w:val="20"/>
          <w:szCs w:val="20"/>
          <w:color w:val="auto"/>
        </w:rPr>
      </w:pPr>
    </w:p>
    <w:p>
      <w:pPr>
        <w:ind w:left="1620" w:right="499" w:firstLine="322"/>
        <w:spacing w:after="0" w:line="295" w:lineRule="auto"/>
        <w:rPr>
          <w:sz w:val="20"/>
          <w:szCs w:val="20"/>
          <w:color w:val="auto"/>
        </w:rPr>
      </w:pPr>
      <w:r>
        <w:rPr>
          <w:rFonts w:ascii="Times New Roman" w:cs="Times New Roman" w:eastAsia="Times New Roman" w:hAnsi="Times New Roman"/>
          <w:sz w:val="12"/>
          <w:szCs w:val="12"/>
          <w:color w:val="auto"/>
        </w:rPr>
        <w:t xml:space="preserve">Dell Technologies (under the name Denali Holding Inc.) was incorporated in the State of Delaware in 2013 in connection with the going-private transaction in October 2013 pursuant to which the public stockholders of Dell received cash for their shares of Dell Inc. common stock. Denali Holding Inc. changed its name to Dell Technologies Inc. on August 25, 2016. In addition, Dell Technologies anticipates changing its jurisdiction of incorporation to Texas, subject to the approval of stockholders. See “Recent Developments.” Our global corporate headquarters is located at One Dell Way, Round Rock, Texas 78682. Our telephone number is (512) 728-7800. Our website is </w:t>
      </w:r>
      <w:r>
        <w:rPr>
          <w:rFonts w:ascii="Times New Roman" w:cs="Times New Roman" w:eastAsia="Times New Roman" w:hAnsi="Times New Roman"/>
          <w:sz w:val="12"/>
          <w:szCs w:val="12"/>
          <w:i w:val="1"/>
          <w:iCs w:val="1"/>
          <w:color w:val="auto"/>
        </w:rPr>
        <w:t>www.dell.com</w:t>
      </w:r>
      <w:r>
        <w:rPr>
          <w:rFonts w:ascii="Times New Roman" w:cs="Times New Roman" w:eastAsia="Times New Roman" w:hAnsi="Times New Roman"/>
          <w:sz w:val="12"/>
          <w:szCs w:val="12"/>
          <w:color w:val="auto"/>
        </w:rPr>
        <w:t xml:space="preserve"> and the Investors page of our website is </w:t>
      </w:r>
      <w:r>
        <w:rPr>
          <w:rFonts w:ascii="Times New Roman" w:cs="Times New Roman" w:eastAsia="Times New Roman" w:hAnsi="Times New Roman"/>
          <w:sz w:val="12"/>
          <w:szCs w:val="12"/>
          <w:i w:val="1"/>
          <w:iCs w:val="1"/>
          <w:color w:val="auto"/>
        </w:rPr>
        <w:t>https://investors.delltechnologies.com</w:t>
      </w:r>
      <w:r>
        <w:rPr>
          <w:rFonts w:ascii="Times New Roman" w:cs="Times New Roman" w:eastAsia="Times New Roman" w:hAnsi="Times New Roman"/>
          <w:sz w:val="12"/>
          <w:szCs w:val="12"/>
          <w:color w:val="auto"/>
        </w:rPr>
        <w:t>. Information contained or linked on our website is not incorporated by reference into this prospectus supplement and the accompanying prospectus and is not a part of this prospectus supplement and accompanying prospectus.</w:t>
      </w:r>
    </w:p>
    <w:p>
      <w:pPr>
        <w:spacing w:after="0" w:line="120" w:lineRule="exact"/>
        <w:rPr>
          <w:sz w:val="20"/>
          <w:szCs w:val="20"/>
          <w:color w:val="auto"/>
        </w:rPr>
      </w:pPr>
    </w:p>
    <w:p>
      <w:pPr>
        <w:ind w:left="1620" w:right="579" w:firstLine="322"/>
        <w:spacing w:after="0" w:line="250" w:lineRule="auto"/>
        <w:rPr>
          <w:sz w:val="20"/>
          <w:szCs w:val="20"/>
          <w:color w:val="auto"/>
        </w:rPr>
      </w:pPr>
      <w:r>
        <w:rPr>
          <w:rFonts w:ascii="Times New Roman" w:cs="Times New Roman" w:eastAsia="Times New Roman" w:hAnsi="Times New Roman"/>
          <w:sz w:val="14"/>
          <w:szCs w:val="14"/>
          <w:color w:val="auto"/>
        </w:rPr>
        <w:t>Dell International (under the name New Dell International LLC) was incorporated in the State of Delaware in 2016 in connection with Dell Technologies’ acquisition of EMC. New Dell International LLC changed its name to Dell International L.L.C. on September 8, 2016. Dell and Denali Intermediate were incorporated in the State of Delaware in 1987 and 2013, respectively. The principal address of Dell International, Denali Intermediate and Dell is One Dell Way, Round Rock, Texas 78682.</w:t>
      </w:r>
    </w:p>
    <w:p>
      <w:pPr>
        <w:spacing w:after="0" w:line="146" w:lineRule="exact"/>
        <w:rPr>
          <w:sz w:val="20"/>
          <w:szCs w:val="20"/>
          <w:color w:val="auto"/>
        </w:rPr>
      </w:pPr>
    </w:p>
    <w:p>
      <w:pPr>
        <w:ind w:left="1620" w:right="619" w:firstLine="322"/>
        <w:spacing w:after="0" w:line="264" w:lineRule="auto"/>
        <w:rPr>
          <w:sz w:val="20"/>
          <w:szCs w:val="20"/>
          <w:color w:val="auto"/>
        </w:rPr>
      </w:pPr>
      <w:r>
        <w:rPr>
          <w:rFonts w:ascii="Times New Roman" w:cs="Times New Roman" w:eastAsia="Times New Roman" w:hAnsi="Times New Roman"/>
          <w:sz w:val="14"/>
          <w:szCs w:val="14"/>
          <w:color w:val="auto"/>
        </w:rPr>
        <w:t>EMC was incorporated in Massachusetts in 1979. EMC’s corporate headquarters are located at 176 South Street, Hopkinton, Massachusetts 01748. EMC’s telephone number is (508) 435-1000.</w:t>
      </w:r>
    </w:p>
    <w:p>
      <w:pPr>
        <w:spacing w:after="0" w:line="29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Redomestication</w:t>
      </w:r>
    </w:p>
    <w:p>
      <w:pPr>
        <w:spacing w:after="0" w:line="88" w:lineRule="exact"/>
        <w:rPr>
          <w:sz w:val="20"/>
          <w:szCs w:val="20"/>
          <w:color w:val="auto"/>
        </w:rPr>
      </w:pPr>
    </w:p>
    <w:p>
      <w:pPr>
        <w:ind w:left="1620" w:right="579" w:firstLine="322"/>
        <w:spacing w:after="0" w:line="294" w:lineRule="auto"/>
        <w:rPr>
          <w:sz w:val="20"/>
          <w:szCs w:val="20"/>
          <w:color w:val="auto"/>
        </w:rPr>
      </w:pPr>
      <w:r>
        <w:rPr>
          <w:rFonts w:ascii="Times New Roman" w:cs="Times New Roman" w:eastAsia="Times New Roman" w:hAnsi="Times New Roman"/>
          <w:sz w:val="12"/>
          <w:szCs w:val="12"/>
          <w:color w:val="auto"/>
        </w:rPr>
        <w:t>On May 3, 2026, Dell Technologies’ board of directors unanimously approved changing the jurisdiction of Dell Technologies’ state of incorporation from Delaware to Texas, subject to the approval of its stockholders (the “Redomestication”). The Redomestication, if approved, will be effected through a conversion of Dell Technologies pursuant to Section 266 of the Delaware General Corporation Law and Title 1, Chapter 10, Subchapter C of the Texas Business Organizations Code pursuant to, and in accordance with, a plan of conversion (the “Plan of Conversion”). By operation of the Plan of Conversion and upon consummation of the Redomestication, among other things, Dell Technologies will continue in existence as a Texas corporation and will continue to operate its business under its current name, “Dell Technologies Inc.” In addition, (i) each issued and outstanding share of our Class A, Class B and Class C common stock will be automatically converted into one outstanding share of Class A, Class B and Class C common stock, respectively, of the Texas corporation; and</w:t>
      </w:r>
    </w:p>
    <w:p>
      <w:pPr>
        <w:spacing w:after="0" w:line="3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7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2982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297805" cy="2982595"/>
                    </a:xfrm>
                    <a:prstGeom prst="rect">
                      <a:avLst/>
                    </a:prstGeom>
                    <a:noFill/>
                  </pic:spPr>
                </pic:pic>
              </a:graphicData>
            </a:graphic>
          </wp:anchor>
        </w:drawing>
      </w:r>
    </w:p>
    <w:p>
      <w:pPr>
        <w:spacing w:after="0" w:line="354" w:lineRule="exact"/>
        <w:rPr>
          <w:sz w:val="20"/>
          <w:szCs w:val="20"/>
          <w:color w:val="auto"/>
        </w:rPr>
      </w:pPr>
    </w:p>
    <w:p>
      <w:pPr>
        <w:ind w:left="1620" w:right="599" w:hanging="5"/>
        <w:spacing w:after="0" w:line="250" w:lineRule="auto"/>
        <w:tabs>
          <w:tab w:leader="none" w:pos="1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stock option, restricted stock unit, performance stock unit, other equity award or other right to acquire shares of Class C common stock of the Delaware corporation will continue in existence and automatically become a stock option, restricted stock unit, performance stock unit, other equity award or other right to acquire an equal number of shares, respectively, of Class C common stock of the Texas corporation under the same terms and conditions.</w:t>
      </w:r>
    </w:p>
    <w:p>
      <w:pPr>
        <w:spacing w:after="0" w:line="2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New Revolving Credit Facility</w:t>
      </w:r>
    </w:p>
    <w:p>
      <w:pPr>
        <w:spacing w:after="0" w:line="88" w:lineRule="exact"/>
        <w:rPr>
          <w:sz w:val="20"/>
          <w:szCs w:val="20"/>
          <w:color w:val="auto"/>
        </w:rPr>
      </w:pPr>
    </w:p>
    <w:p>
      <w:pPr>
        <w:ind w:left="1620" w:right="499" w:firstLine="322"/>
        <w:spacing w:after="0" w:line="248" w:lineRule="auto"/>
        <w:rPr>
          <w:sz w:val="20"/>
          <w:szCs w:val="20"/>
          <w:color w:val="auto"/>
        </w:rPr>
      </w:pPr>
      <w:r>
        <w:rPr>
          <w:rFonts w:ascii="Times New Roman" w:cs="Times New Roman" w:eastAsia="Times New Roman" w:hAnsi="Times New Roman"/>
          <w:sz w:val="14"/>
          <w:szCs w:val="14"/>
          <w:color w:val="auto"/>
        </w:rPr>
        <w:t>On June 10, 2026, Dell Technologies, Denali Intermediate, Dell, Dell International, as a borrower, and EMC, as a borrower, entered into a credit agreement with JPMorgan Chase Bank, N.A., as administrative agent, and each of the lenders and other parties from time to time party thereto (the “new credit agreement”), which provides for a senior unsecured revolving credit facility. Also on June 10, 2026, and in connection with the entry into the new credit agreement, Dell International and EMC repaid in full and terminated all of their obligations and commitments under the prior credit agreement.</w:t>
      </w:r>
    </w:p>
    <w:p>
      <w:pPr>
        <w:spacing w:after="0" w:line="14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The new credit agreement, which matures on June 10, 2031, unless extended, provides Dell International and EMC with revolving</w:t>
      </w:r>
    </w:p>
    <w:p>
      <w:pPr>
        <w:spacing w:after="0" w:line="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commitments in an aggregate principal amount of $6,000,000,000 and with a letter of credit sub-facility of up to $500,000,000. The new credit</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agreement also allows Dell International and EMC to request incremental commitments on one or more occasions in a minimum amount of</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$10,000,000, provided that the Consolidated Interest Coverage Ratio (as defined in the new credit agreement), calculated on a pro forma basis,</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after giving effect to the incurrence of such commitment increase (assuming that the full amount of such commitment increase is drawn) and the</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use of proceeds thereof, shall not be less than 3.00:1.00 for the most recently completed four consecutive fiscal quarters of Dell Technologies for</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which financial statements have been delivered. The proceeds of the Loans (as defined in the new credit agreement) will be used by Dell and its</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subsidiaries for general corporate purposes.</w:t>
      </w:r>
    </w:p>
    <w:p>
      <w:pPr>
        <w:spacing w:after="0" w:line="154" w:lineRule="exact"/>
        <w:rPr>
          <w:sz w:val="20"/>
          <w:szCs w:val="20"/>
          <w:color w:val="auto"/>
        </w:rPr>
      </w:pPr>
    </w:p>
    <w:p>
      <w:pPr>
        <w:ind w:left="1620" w:right="659" w:firstLine="322"/>
        <w:spacing w:after="0" w:line="248" w:lineRule="auto"/>
        <w:rPr>
          <w:sz w:val="20"/>
          <w:szCs w:val="20"/>
          <w:color w:val="auto"/>
        </w:rPr>
      </w:pPr>
      <w:r>
        <w:rPr>
          <w:rFonts w:ascii="Times New Roman" w:cs="Times New Roman" w:eastAsia="Times New Roman" w:hAnsi="Times New Roman"/>
          <w:sz w:val="14"/>
          <w:szCs w:val="14"/>
          <w:color w:val="auto"/>
        </w:rPr>
        <w:t>Borrowings under the new credit agreement bear interest at a rate per annum equal to an applicable margin plus, at the borrowers’ option, either (a) the specified Secured Overnight Financing Rate (“SOFR”) or (b) a base rate. The margin applicable to SOFR and base rate borrowings varies based upon Dell Technologies’ existing credit ratings. The base rate is calculated based upon the greatest of the specified prime rate, the specified federal reserve bank rate plus 0.5%, and the specified term SOFR plus 1%. Borrowings under the new credit agreement may be voluntarily repaid at any time without premium or penalty, other than customary breakage costs.</w:t>
      </w: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7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843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297805" cy="4843780"/>
                    </a:xfrm>
                    <a:prstGeom prst="rect">
                      <a:avLst/>
                    </a:prstGeom>
                    <a:noFill/>
                  </pic:spPr>
                </pic:pic>
              </a:graphicData>
            </a:graphic>
          </wp:anchor>
        </w:drawing>
      </w:r>
    </w:p>
    <w:p>
      <w:pPr>
        <w:spacing w:after="0" w:line="3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68" w:lineRule="exact"/>
        <w:rPr>
          <w:sz w:val="20"/>
          <w:szCs w:val="20"/>
          <w:color w:val="auto"/>
        </w:rPr>
      </w:pPr>
    </w:p>
    <w:p>
      <w:pPr>
        <w:jc w:val="both"/>
        <w:ind w:left="1620" w:right="519" w:firstLine="322"/>
        <w:spacing w:after="0" w:line="255" w:lineRule="auto"/>
        <w:rPr>
          <w:sz w:val="20"/>
          <w:szCs w:val="20"/>
          <w:color w:val="auto"/>
        </w:rPr>
      </w:pPr>
      <w:r>
        <w:rPr>
          <w:rFonts w:ascii="Times New Roman" w:cs="Times New Roman" w:eastAsia="Times New Roman" w:hAnsi="Times New Roman"/>
          <w:sz w:val="14"/>
          <w:szCs w:val="14"/>
          <w:i w:val="1"/>
          <w:iCs w:val="1"/>
          <w:color w:val="auto"/>
        </w:rPr>
        <w:t>The summary below describes the principal terms of the notes. Certain of the terms and conditions described below are subject to important limitations and exceptions. The “Description of Notes” section of this prospectus supplement contains a more detailed description of the terms and conditions of the notes.</w:t>
      </w:r>
    </w:p>
    <w:p>
      <w:pPr>
        <w:spacing w:after="0" w:line="220"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Terms of the Notes</w:t>
            </w:r>
          </w:p>
        </w:tc>
        <w:tc>
          <w:tcPr>
            <w:tcW w:w="6140" w:type="dxa"/>
            <w:vAlign w:val="bottom"/>
          </w:tcPr>
          <w:p>
            <w:pPr>
              <w:spacing w:after="0"/>
              <w:rPr>
                <w:sz w:val="15"/>
                <w:szCs w:val="15"/>
                <w:color w:val="auto"/>
              </w:rPr>
            </w:pPr>
          </w:p>
        </w:tc>
      </w:tr>
      <w:tr>
        <w:trPr>
          <w:trHeight w:val="25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Issuers</w:t>
            </w: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The notes will be co-issued by Dell International L.L.C. and EMC Corporation.</w:t>
            </w:r>
          </w:p>
        </w:tc>
      </w:tr>
      <w:tr>
        <w:trPr>
          <w:trHeight w:val="357"/>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Securities Offered</w:t>
            </w: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$1,000,000,000 aggregate principal amount of 4.750% senior notes due 2031.</w:t>
            </w:r>
          </w:p>
        </w:tc>
      </w:tr>
      <w:tr>
        <w:trPr>
          <w:trHeight w:val="357"/>
        </w:trPr>
        <w:tc>
          <w:tcPr>
            <w:tcW w:w="2200" w:type="dxa"/>
            <w:vAlign w:val="bottom"/>
          </w:tcPr>
          <w:p>
            <w:pPr>
              <w:spacing w:after="0"/>
              <w:rPr>
                <w:sz w:val="24"/>
                <w:szCs w:val="24"/>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$750,000,000 aggregate principal amount of 5.000% senior notes due 2034.</w:t>
            </w:r>
          </w:p>
        </w:tc>
      </w:tr>
      <w:tr>
        <w:trPr>
          <w:trHeight w:val="347"/>
        </w:trPr>
        <w:tc>
          <w:tcPr>
            <w:tcW w:w="2200" w:type="dxa"/>
            <w:vAlign w:val="bottom"/>
          </w:tcPr>
          <w:p>
            <w:pPr>
              <w:spacing w:after="0"/>
              <w:rPr>
                <w:sz w:val="24"/>
                <w:szCs w:val="24"/>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$1,250,000,000 aggregate principal amount of 5.250% senior notes due 2037.</w:t>
            </w:r>
          </w:p>
        </w:tc>
      </w:tr>
      <w:tr>
        <w:trPr>
          <w:trHeight w:val="347"/>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Maturity Date</w:t>
            </w: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The 2031 notes will mature on July 15, 2031.</w:t>
            </w:r>
          </w:p>
        </w:tc>
      </w:tr>
      <w:tr>
        <w:trPr>
          <w:trHeight w:val="357"/>
        </w:trPr>
        <w:tc>
          <w:tcPr>
            <w:tcW w:w="2200" w:type="dxa"/>
            <w:vAlign w:val="bottom"/>
          </w:tcPr>
          <w:p>
            <w:pPr>
              <w:spacing w:after="0"/>
              <w:rPr>
                <w:sz w:val="24"/>
                <w:szCs w:val="24"/>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The 2034 notes will mature on February 15, 2034.</w:t>
            </w:r>
          </w:p>
        </w:tc>
      </w:tr>
      <w:tr>
        <w:trPr>
          <w:trHeight w:val="347"/>
        </w:trPr>
        <w:tc>
          <w:tcPr>
            <w:tcW w:w="2200" w:type="dxa"/>
            <w:vAlign w:val="bottom"/>
          </w:tcPr>
          <w:p>
            <w:pPr>
              <w:spacing w:after="0"/>
              <w:rPr>
                <w:sz w:val="24"/>
                <w:szCs w:val="24"/>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The 2037 notes will mature on February 15, 2037.</w:t>
            </w:r>
          </w:p>
        </w:tc>
      </w:tr>
      <w:tr>
        <w:trPr>
          <w:trHeight w:val="33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Interest Rate</w:t>
            </w: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Interest on the 2031 notes will accrue at a rate of 4.750% per annum and will be payable in</w:t>
            </w:r>
          </w:p>
        </w:tc>
      </w:tr>
      <w:tr>
        <w:trPr>
          <w:trHeight w:val="175"/>
        </w:trPr>
        <w:tc>
          <w:tcPr>
            <w:tcW w:w="2200" w:type="dxa"/>
            <w:vAlign w:val="bottom"/>
          </w:tcPr>
          <w:p>
            <w:pPr>
              <w:spacing w:after="0"/>
              <w:rPr>
                <w:sz w:val="15"/>
                <w:szCs w:val="15"/>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cash in arrears on January 15 and July 15 of each year, commencing on January 15, 2027.</w:t>
            </w:r>
          </w:p>
        </w:tc>
      </w:tr>
      <w:tr>
        <w:trPr>
          <w:trHeight w:val="335"/>
        </w:trPr>
        <w:tc>
          <w:tcPr>
            <w:tcW w:w="2200" w:type="dxa"/>
            <w:vAlign w:val="bottom"/>
          </w:tcPr>
          <w:p>
            <w:pPr>
              <w:spacing w:after="0"/>
              <w:rPr>
                <w:sz w:val="24"/>
                <w:szCs w:val="24"/>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Interest on the 2034 notes will accrue at a rate of 5.000% per annum and will be payable in</w:t>
            </w:r>
          </w:p>
        </w:tc>
      </w:tr>
      <w:tr>
        <w:trPr>
          <w:trHeight w:val="163"/>
        </w:trPr>
        <w:tc>
          <w:tcPr>
            <w:tcW w:w="2200" w:type="dxa"/>
            <w:vAlign w:val="bottom"/>
          </w:tcPr>
          <w:p>
            <w:pPr>
              <w:spacing w:after="0"/>
              <w:rPr>
                <w:sz w:val="14"/>
                <w:szCs w:val="14"/>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cash in arrears on February 15 and August 15 of each year, commencing on August 15,</w:t>
            </w:r>
          </w:p>
        </w:tc>
      </w:tr>
      <w:tr>
        <w:trPr>
          <w:trHeight w:val="175"/>
        </w:trPr>
        <w:tc>
          <w:tcPr>
            <w:tcW w:w="2200" w:type="dxa"/>
            <w:vAlign w:val="bottom"/>
          </w:tcPr>
          <w:p>
            <w:pPr>
              <w:spacing w:after="0"/>
              <w:rPr>
                <w:sz w:val="15"/>
                <w:szCs w:val="15"/>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2026.</w:t>
            </w:r>
          </w:p>
        </w:tc>
      </w:tr>
      <w:tr>
        <w:trPr>
          <w:trHeight w:val="335"/>
        </w:trPr>
        <w:tc>
          <w:tcPr>
            <w:tcW w:w="2200" w:type="dxa"/>
            <w:vAlign w:val="bottom"/>
          </w:tcPr>
          <w:p>
            <w:pPr>
              <w:spacing w:after="0"/>
              <w:rPr>
                <w:sz w:val="24"/>
                <w:szCs w:val="24"/>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Interest on the 2037 notes will accrue at a rate of 5.250% per annum and will be payable in</w:t>
            </w:r>
          </w:p>
        </w:tc>
      </w:tr>
      <w:tr>
        <w:trPr>
          <w:trHeight w:val="163"/>
        </w:trPr>
        <w:tc>
          <w:tcPr>
            <w:tcW w:w="2200" w:type="dxa"/>
            <w:vAlign w:val="bottom"/>
          </w:tcPr>
          <w:p>
            <w:pPr>
              <w:spacing w:after="0"/>
              <w:rPr>
                <w:sz w:val="14"/>
                <w:szCs w:val="14"/>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cash in arrears on February 15 and August 15 of each year, commencing on August 15,</w:t>
            </w:r>
          </w:p>
        </w:tc>
      </w:tr>
      <w:tr>
        <w:trPr>
          <w:trHeight w:val="175"/>
        </w:trPr>
        <w:tc>
          <w:tcPr>
            <w:tcW w:w="2200" w:type="dxa"/>
            <w:vAlign w:val="bottom"/>
          </w:tcPr>
          <w:p>
            <w:pPr>
              <w:spacing w:after="0"/>
              <w:rPr>
                <w:sz w:val="15"/>
                <w:szCs w:val="15"/>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2026.</w:t>
            </w:r>
          </w:p>
        </w:tc>
      </w:tr>
      <w:tr>
        <w:trPr>
          <w:trHeight w:val="347"/>
        </w:trPr>
        <w:tc>
          <w:tcPr>
            <w:tcW w:w="2200" w:type="dxa"/>
            <w:vAlign w:val="bottom"/>
          </w:tcPr>
          <w:p>
            <w:pPr>
              <w:spacing w:after="0"/>
              <w:rPr>
                <w:sz w:val="24"/>
                <w:szCs w:val="24"/>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Interest will accrue from the issue date of the notes.</w:t>
            </w:r>
          </w:p>
        </w:tc>
      </w:tr>
      <w:tr>
        <w:trPr>
          <w:trHeight w:val="335"/>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Guarantees</w:t>
            </w: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The notes will be guaranteed on a joint and several basis by Dell Technologies, Denali</w:t>
            </w:r>
          </w:p>
        </w:tc>
      </w:tr>
      <w:tr>
        <w:trPr>
          <w:trHeight w:val="175"/>
        </w:trPr>
        <w:tc>
          <w:tcPr>
            <w:tcW w:w="2200" w:type="dxa"/>
            <w:vAlign w:val="bottom"/>
          </w:tcPr>
          <w:p>
            <w:pPr>
              <w:spacing w:after="0"/>
              <w:rPr>
                <w:sz w:val="15"/>
                <w:szCs w:val="15"/>
                <w:color w:val="auto"/>
              </w:rPr>
            </w:pP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Intermediate and Dell. The notes will not be guaranteed by any of the issuers’ subsidiaries.</w:t>
            </w:r>
          </w:p>
        </w:tc>
      </w:tr>
      <w:tr>
        <w:trPr>
          <w:trHeight w:val="347"/>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Ranking</w:t>
            </w:r>
          </w:p>
        </w:tc>
        <w:tc>
          <w:tcPr>
            <w:tcW w:w="61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The notes and the note guarantees will be:</w:t>
            </w:r>
          </w:p>
        </w:tc>
      </w:tr>
      <w:tr>
        <w:trPr>
          <w:trHeight w:val="266"/>
        </w:trPr>
        <w:tc>
          <w:tcPr>
            <w:tcW w:w="2200" w:type="dxa"/>
            <w:vAlign w:val="bottom"/>
          </w:tcPr>
          <w:p>
            <w:pPr>
              <w:spacing w:after="0"/>
              <w:rPr>
                <w:sz w:val="23"/>
                <w:szCs w:val="23"/>
                <w:color w:val="auto"/>
              </w:rPr>
            </w:pPr>
          </w:p>
        </w:tc>
        <w:tc>
          <w:tcPr>
            <w:tcW w:w="61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   senior unsecured obligations of the issuers and the guarantors;</w:t>
            </w:r>
          </w:p>
        </w:tc>
      </w:tr>
      <w:tr>
        <w:trPr>
          <w:trHeight w:val="243"/>
        </w:trPr>
        <w:tc>
          <w:tcPr>
            <w:tcW w:w="2200" w:type="dxa"/>
            <w:vAlign w:val="bottom"/>
          </w:tcPr>
          <w:p>
            <w:pPr>
              <w:spacing w:after="0"/>
              <w:rPr>
                <w:sz w:val="21"/>
                <w:szCs w:val="21"/>
                <w:color w:val="auto"/>
              </w:rPr>
            </w:pPr>
          </w:p>
        </w:tc>
        <w:tc>
          <w:tcPr>
            <w:tcW w:w="61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   senior in right of payment to any future subordinated indebtedness of the issuers and</w:t>
            </w:r>
          </w:p>
        </w:tc>
      </w:tr>
      <w:tr>
        <w:trPr>
          <w:trHeight w:val="175"/>
        </w:trPr>
        <w:tc>
          <w:tcPr>
            <w:tcW w:w="2200" w:type="dxa"/>
            <w:vAlign w:val="bottom"/>
          </w:tcPr>
          <w:p>
            <w:pPr>
              <w:spacing w:after="0"/>
              <w:rPr>
                <w:sz w:val="15"/>
                <w:szCs w:val="15"/>
                <w:color w:val="auto"/>
              </w:rPr>
            </w:pPr>
          </w:p>
        </w:tc>
        <w:tc>
          <w:tcPr>
            <w:tcW w:w="614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the guarantors;</w:t>
            </w:r>
          </w:p>
        </w:tc>
      </w:tr>
      <w:tr>
        <w:trPr>
          <w:trHeight w:val="129"/>
        </w:trPr>
        <w:tc>
          <w:tcPr>
            <w:tcW w:w="2200" w:type="dxa"/>
            <w:vAlign w:val="bottom"/>
            <w:tcBorders>
              <w:bottom w:val="single" w:sz="8" w:color="auto"/>
            </w:tcBorders>
          </w:tcPr>
          <w:p>
            <w:pPr>
              <w:spacing w:after="0"/>
              <w:rPr>
                <w:sz w:val="11"/>
                <w:szCs w:val="11"/>
                <w:color w:val="auto"/>
              </w:rPr>
            </w:pPr>
          </w:p>
        </w:tc>
        <w:tc>
          <w:tcPr>
            <w:tcW w:w="6140" w:type="dxa"/>
            <w:vAlign w:val="bottom"/>
            <w:tcBorders>
              <w:bottom w:val="single" w:sz="8" w:color="auto"/>
            </w:tcBorders>
          </w:tcPr>
          <w:p>
            <w:pPr>
              <w:spacing w:after="0"/>
              <w:rPr>
                <w:sz w:val="11"/>
                <w:szCs w:val="11"/>
                <w:color w:val="auto"/>
              </w:rPr>
            </w:pPr>
          </w:p>
        </w:tc>
      </w:tr>
      <w:tr>
        <w:trPr>
          <w:trHeight w:val="270"/>
        </w:trPr>
        <w:tc>
          <w:tcPr>
            <w:tcW w:w="2200" w:type="dxa"/>
            <w:vAlign w:val="bottom"/>
          </w:tcPr>
          <w:p>
            <w:pPr>
              <w:spacing w:after="0"/>
              <w:rPr>
                <w:sz w:val="23"/>
                <w:szCs w:val="23"/>
                <w:color w:val="auto"/>
              </w:rPr>
            </w:pPr>
          </w:p>
        </w:tc>
        <w:tc>
          <w:tcPr>
            <w:tcW w:w="614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S-10</w:t>
            </w:r>
          </w:p>
        </w:tc>
      </w:tr>
    </w:tbl>
    <w:p>
      <w:pPr>
        <w:sectPr>
          <w:pgSz w:w="11900" w:h="16838" w:orient="portrait"/>
          <w:cols w:equalWidth="0" w:num="1">
            <w:col w:w="10159"/>
          </w:cols>
          <w:pgMar w:left="300" w:top="37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454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297805" cy="4454525"/>
                    </a:xfrm>
                    <a:prstGeom prst="rect">
                      <a:avLst/>
                    </a:prstGeom>
                    <a:noFill/>
                  </pic:spPr>
                </pic:pic>
              </a:graphicData>
            </a:graphic>
          </wp:anchor>
        </w:drawing>
      </w:r>
    </w:p>
    <w:p>
      <w:pPr>
        <w:spacing w:after="0" w:line="354" w:lineRule="exact"/>
        <w:rPr>
          <w:sz w:val="20"/>
          <w:szCs w:val="20"/>
          <w:color w:val="auto"/>
        </w:rPr>
      </w:pPr>
    </w:p>
    <w:p>
      <w:pPr>
        <w:ind w:left="4840"/>
        <w:spacing w:after="0"/>
        <w:tabs>
          <w:tab w:leader="none" w:pos="5040" w:val="left"/>
        </w:tabs>
        <w:rPr>
          <w:sz w:val="20"/>
          <w:szCs w:val="20"/>
          <w:color w:val="auto"/>
        </w:rPr>
      </w:pPr>
      <w:r>
        <w:rPr>
          <w:rFonts w:ascii="Times New Roman" w:cs="Times New Roman" w:eastAsia="Times New Roman" w:hAnsi="Times New Roman"/>
          <w:sz w:val="14"/>
          <w:szCs w:val="14"/>
          <w:color w:val="auto"/>
        </w:rPr>
        <w:t>•</w:t>
        <w:tab/>
        <w:t>pari passu in right of payment with all existing and future senior indebtedness of the</w:t>
      </w:r>
    </w:p>
    <w:p>
      <w:pPr>
        <w:spacing w:after="0" w:line="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issuers and the guarantors, including the new revolving credit facility and the</w:t>
      </w:r>
    </w:p>
    <w:p>
      <w:pPr>
        <w:spacing w:after="0" w:line="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existing notes;</w:t>
      </w:r>
    </w:p>
    <w:p>
      <w:pPr>
        <w:spacing w:after="0" w:line="82" w:lineRule="exact"/>
        <w:rPr>
          <w:sz w:val="20"/>
          <w:szCs w:val="20"/>
          <w:color w:val="auto"/>
        </w:rPr>
      </w:pPr>
    </w:p>
    <w:tbl>
      <w:tblPr>
        <w:tblLayout w:type="fixed"/>
        <w:tblInd w:w="1480" w:type="dxa"/>
        <w:tblCellMar>
          <w:top w:w="0" w:type="dxa"/>
          <w:left w:w="0" w:type="dxa"/>
          <w:bottom w:w="0" w:type="dxa"/>
          <w:right w:w="0" w:type="dxa"/>
        </w:tblCellMar>
      </w:tblPr>
      <w:tr>
        <w:trPr>
          <w:trHeight w:val="163"/>
        </w:trPr>
        <w:tc>
          <w:tcPr>
            <w:tcW w:w="2660" w:type="dxa"/>
            <w:vAlign w:val="bottom"/>
          </w:tcPr>
          <w:p>
            <w:pPr>
              <w:spacing w:after="0"/>
              <w:rPr>
                <w:sz w:val="14"/>
                <w:szCs w:val="14"/>
                <w:color w:val="auto"/>
              </w:rPr>
            </w:pPr>
          </w:p>
        </w:tc>
        <w:tc>
          <w:tcPr>
            <w:tcW w:w="56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   structurally senior to the Legacy Notes that are issued by Dell, a parent entity of the</w:t>
            </w:r>
          </w:p>
        </w:tc>
      </w:tr>
      <w:tr>
        <w:trPr>
          <w:trHeight w:val="175"/>
        </w:trPr>
        <w:tc>
          <w:tcPr>
            <w:tcW w:w="2660" w:type="dxa"/>
            <w:vAlign w:val="bottom"/>
          </w:tcPr>
          <w:p>
            <w:pPr>
              <w:spacing w:after="0"/>
              <w:rPr>
                <w:sz w:val="15"/>
                <w:szCs w:val="15"/>
                <w:color w:val="auto"/>
              </w:rPr>
            </w:pPr>
          </w:p>
        </w:tc>
        <w:tc>
          <w:tcPr>
            <w:tcW w:w="56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issuers, and which are not guaranteed by the issuers; and</w:t>
            </w:r>
          </w:p>
        </w:tc>
      </w:tr>
      <w:tr>
        <w:trPr>
          <w:trHeight w:val="243"/>
        </w:trPr>
        <w:tc>
          <w:tcPr>
            <w:tcW w:w="2660" w:type="dxa"/>
            <w:vAlign w:val="bottom"/>
          </w:tcPr>
          <w:p>
            <w:pPr>
              <w:spacing w:after="0"/>
              <w:rPr>
                <w:sz w:val="21"/>
                <w:szCs w:val="21"/>
                <w:color w:val="auto"/>
              </w:rPr>
            </w:pPr>
          </w:p>
        </w:tc>
        <w:tc>
          <w:tcPr>
            <w:tcW w:w="56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   structurally subordinated to all existing and future indebtedness and other liabilities</w:t>
            </w:r>
          </w:p>
        </w:tc>
      </w:tr>
      <w:tr>
        <w:trPr>
          <w:trHeight w:val="163"/>
        </w:trPr>
        <w:tc>
          <w:tcPr>
            <w:tcW w:w="2660" w:type="dxa"/>
            <w:vAlign w:val="bottom"/>
          </w:tcPr>
          <w:p>
            <w:pPr>
              <w:spacing w:after="0"/>
              <w:rPr>
                <w:sz w:val="14"/>
                <w:szCs w:val="14"/>
                <w:color w:val="auto"/>
              </w:rPr>
            </w:pPr>
          </w:p>
        </w:tc>
        <w:tc>
          <w:tcPr>
            <w:tcW w:w="56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of subsidiaries of the issuers, consisting mainly of DFS debt, other than</w:t>
            </w:r>
          </w:p>
        </w:tc>
      </w:tr>
      <w:tr>
        <w:trPr>
          <w:trHeight w:val="175"/>
        </w:trPr>
        <w:tc>
          <w:tcPr>
            <w:tcW w:w="2660" w:type="dxa"/>
            <w:vAlign w:val="bottom"/>
          </w:tcPr>
          <w:p>
            <w:pPr>
              <w:spacing w:after="0"/>
              <w:rPr>
                <w:sz w:val="15"/>
                <w:szCs w:val="15"/>
                <w:color w:val="auto"/>
              </w:rPr>
            </w:pPr>
          </w:p>
        </w:tc>
        <w:tc>
          <w:tcPr>
            <w:tcW w:w="56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indebtedness and liabilities owed to one of the issuers or guarantors.</w:t>
            </w:r>
          </w:p>
        </w:tc>
      </w:tr>
      <w:tr>
        <w:trPr>
          <w:trHeight w:val="335"/>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Optional Redemption</w:t>
            </w: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We may redeem some or all of (i) the 2031 notes at any time prior to June 15, 2031 (the</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that is one month prior to the maturity of the 2031 notes), (ii) the 2034 notes at any</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time prior to December 15, 2033 (the date that is two months prior to the maturity of the</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2034 notes) and (iii) the 2037 notes at any time prior to November 15, 2036 (the date that</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is three months prior to the maturity of the 2037 notes), in each case, at a price equal to</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100% of the principal amount of the notes redeemed, plus accrued and unpaid interest to,</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but not including, the redemption date, plus a “make- whole” premium, as described in this</w:t>
            </w:r>
          </w:p>
        </w:tc>
      </w:tr>
      <w:tr>
        <w:trPr>
          <w:trHeight w:val="175"/>
        </w:trPr>
        <w:tc>
          <w:tcPr>
            <w:tcW w:w="2660" w:type="dxa"/>
            <w:vAlign w:val="bottom"/>
          </w:tcPr>
          <w:p>
            <w:pPr>
              <w:spacing w:after="0"/>
              <w:rPr>
                <w:sz w:val="15"/>
                <w:szCs w:val="15"/>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prospectus supplement.</w:t>
            </w:r>
          </w:p>
        </w:tc>
      </w:tr>
      <w:tr>
        <w:trPr>
          <w:trHeight w:val="335"/>
        </w:trPr>
        <w:tc>
          <w:tcPr>
            <w:tcW w:w="2660" w:type="dxa"/>
            <w:vAlign w:val="bottom"/>
          </w:tcPr>
          <w:p>
            <w:pPr>
              <w:spacing w:after="0"/>
              <w:rPr>
                <w:sz w:val="24"/>
                <w:szCs w:val="2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On or after (i) in the case of the 2031 notes, June 15, 2031 (the date that is one month prior</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 the maturity of the 2031 notes), (ii) in the case of the 2034 notes, December 15, 2033</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date that is two months prior to the maturity of the 2034 notes) and (iii) in the case of</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2037 notes, November 15, 2036 (the date that is three months prior to the maturity of</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2037 notes), we may redeem some or all of such notes at a redemption price equal to</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100% of the principal amount of the notes redeemed, plus accrued and unpaid interest to,</w:t>
            </w:r>
          </w:p>
        </w:tc>
      </w:tr>
      <w:tr>
        <w:trPr>
          <w:trHeight w:val="175"/>
        </w:trPr>
        <w:tc>
          <w:tcPr>
            <w:tcW w:w="2660" w:type="dxa"/>
            <w:vAlign w:val="bottom"/>
          </w:tcPr>
          <w:p>
            <w:pPr>
              <w:spacing w:after="0"/>
              <w:rPr>
                <w:sz w:val="15"/>
                <w:szCs w:val="15"/>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but not including, the redemption date. See “Description of Notes—Optional Redemption.”</w:t>
            </w:r>
          </w:p>
        </w:tc>
      </w:tr>
      <w:tr>
        <w:trPr>
          <w:trHeight w:val="499"/>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Change of Control Triggering Event</w:t>
            </w: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If a Change of Control Triggering Event (as defined in “</w:t>
            </w:r>
            <w:r>
              <w:rPr>
                <w:rFonts w:ascii="Times New Roman" w:cs="Times New Roman" w:eastAsia="Times New Roman" w:hAnsi="Times New Roman"/>
                <w:sz w:val="14"/>
                <w:szCs w:val="14"/>
                <w:i w:val="1"/>
                <w:iCs w:val="1"/>
                <w:color w:val="auto"/>
              </w:rPr>
              <w:t>Description of Notes</w:t>
            </w:r>
            <w:r>
              <w:rPr>
                <w:rFonts w:ascii="Times New Roman" w:cs="Times New Roman" w:eastAsia="Times New Roman" w:hAnsi="Times New Roman"/>
                <w:sz w:val="14"/>
                <w:szCs w:val="14"/>
                <w:color w:val="auto"/>
              </w:rPr>
              <w:t>”) occurs with</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respect to the notes, we must offer to repurchase such series of notes at a redemption price</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equal to 101% of the principal amount thereof (or such higher amount as the issuers may</w:t>
            </w:r>
          </w:p>
        </w:tc>
      </w:tr>
      <w:tr>
        <w:trPr>
          <w:trHeight w:val="161"/>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determine) plus any accrued and unpaid interest to, but not including, the repurchase date.</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Description of Notes—Change of Control Triggering Event</w:t>
            </w:r>
            <w:r>
              <w:rPr>
                <w:rFonts w:ascii="Times New Roman" w:cs="Times New Roman" w:eastAsia="Times New Roman" w:hAnsi="Times New Roman"/>
                <w:sz w:val="14"/>
                <w:szCs w:val="14"/>
                <w:color w:val="auto"/>
              </w:rPr>
              <w:t>.” See “</w:t>
            </w:r>
            <w:r>
              <w:rPr>
                <w:rFonts w:ascii="Times New Roman" w:cs="Times New Roman" w:eastAsia="Times New Roman" w:hAnsi="Times New Roman"/>
                <w:sz w:val="14"/>
                <w:szCs w:val="14"/>
                <w:i w:val="1"/>
                <w:iCs w:val="1"/>
                <w:color w:val="auto"/>
              </w:rPr>
              <w:t>Risk Factors—</w:t>
            </w:r>
          </w:p>
        </w:tc>
      </w:tr>
      <w:tr>
        <w:trPr>
          <w:trHeight w:val="163"/>
        </w:trPr>
        <w:tc>
          <w:tcPr>
            <w:tcW w:w="2660" w:type="dxa"/>
            <w:vAlign w:val="bottom"/>
          </w:tcPr>
          <w:p>
            <w:pPr>
              <w:spacing w:after="0"/>
              <w:rPr>
                <w:sz w:val="14"/>
                <w:szCs w:val="14"/>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i w:val="1"/>
                <w:iCs w:val="1"/>
                <w:color w:val="auto"/>
              </w:rPr>
              <w:t>Risks Related to the Notes and the Offering—We may not be able to finance a change of</w:t>
            </w:r>
          </w:p>
        </w:tc>
      </w:tr>
      <w:tr>
        <w:trPr>
          <w:trHeight w:val="177"/>
        </w:trPr>
        <w:tc>
          <w:tcPr>
            <w:tcW w:w="2660" w:type="dxa"/>
            <w:vAlign w:val="bottom"/>
          </w:tcPr>
          <w:p>
            <w:pPr>
              <w:spacing w:after="0"/>
              <w:rPr>
                <w:sz w:val="15"/>
                <w:szCs w:val="15"/>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i w:val="1"/>
                <w:iCs w:val="1"/>
                <w:color w:val="auto"/>
              </w:rPr>
              <w:t>control offer as required by the Indenture that will govern the notes offered hereby</w:t>
            </w:r>
            <w:r>
              <w:rPr>
                <w:rFonts w:ascii="Times New Roman" w:cs="Times New Roman" w:eastAsia="Times New Roman" w:hAnsi="Times New Roman"/>
                <w:sz w:val="14"/>
                <w:szCs w:val="14"/>
                <w:color w:val="auto"/>
              </w:rPr>
              <w:t>.”</w:t>
            </w:r>
          </w:p>
        </w:tc>
      </w:tr>
      <w:tr>
        <w:trPr>
          <w:trHeight w:val="499"/>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Certain Covenants</w:t>
            </w: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Indenture (as defined in “</w:t>
            </w:r>
            <w:r>
              <w:rPr>
                <w:rFonts w:ascii="Times New Roman" w:cs="Times New Roman" w:eastAsia="Times New Roman" w:hAnsi="Times New Roman"/>
                <w:sz w:val="14"/>
                <w:szCs w:val="14"/>
                <w:i w:val="1"/>
                <w:iCs w:val="1"/>
                <w:color w:val="auto"/>
              </w:rPr>
              <w:t>Description of Notes</w:t>
            </w:r>
            <w:r>
              <w:rPr>
                <w:rFonts w:ascii="Times New Roman" w:cs="Times New Roman" w:eastAsia="Times New Roman" w:hAnsi="Times New Roman"/>
                <w:sz w:val="14"/>
                <w:szCs w:val="14"/>
                <w:color w:val="auto"/>
              </w:rPr>
              <w:t>”) that will govern the notes will contain</w:t>
            </w:r>
          </w:p>
        </w:tc>
      </w:tr>
      <w:tr>
        <w:trPr>
          <w:trHeight w:val="175"/>
        </w:trPr>
        <w:tc>
          <w:tcPr>
            <w:tcW w:w="2660" w:type="dxa"/>
            <w:vAlign w:val="bottom"/>
          </w:tcPr>
          <w:p>
            <w:pPr>
              <w:spacing w:after="0"/>
              <w:rPr>
                <w:sz w:val="15"/>
                <w:szCs w:val="15"/>
                <w:color w:val="auto"/>
              </w:rPr>
            </w:pPr>
          </w:p>
        </w:tc>
        <w:tc>
          <w:tcPr>
            <w:tcW w:w="5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covenants that limit the ability of the issuers and their respective restricted subsidiaries to:</w:t>
            </w:r>
          </w:p>
        </w:tc>
      </w:tr>
      <w:tr>
        <w:trPr>
          <w:trHeight w:val="255"/>
        </w:trPr>
        <w:tc>
          <w:tcPr>
            <w:tcW w:w="2660" w:type="dxa"/>
            <w:vAlign w:val="bottom"/>
          </w:tcPr>
          <w:p>
            <w:pPr>
              <w:spacing w:after="0"/>
              <w:rPr>
                <w:sz w:val="22"/>
                <w:szCs w:val="22"/>
                <w:color w:val="auto"/>
              </w:rPr>
            </w:pPr>
          </w:p>
        </w:tc>
        <w:tc>
          <w:tcPr>
            <w:tcW w:w="56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   create liens on certain assets to secure debt;</w:t>
            </w:r>
          </w:p>
        </w:tc>
      </w:tr>
      <w:tr>
        <w:trPr>
          <w:trHeight w:val="129"/>
        </w:trPr>
        <w:tc>
          <w:tcPr>
            <w:tcW w:w="2660" w:type="dxa"/>
            <w:vAlign w:val="bottom"/>
            <w:tcBorders>
              <w:bottom w:val="single" w:sz="8" w:color="auto"/>
            </w:tcBorders>
          </w:tcPr>
          <w:p>
            <w:pPr>
              <w:spacing w:after="0"/>
              <w:rPr>
                <w:sz w:val="11"/>
                <w:szCs w:val="11"/>
                <w:color w:val="auto"/>
              </w:rPr>
            </w:pPr>
          </w:p>
        </w:tc>
        <w:tc>
          <w:tcPr>
            <w:tcW w:w="5680" w:type="dxa"/>
            <w:vAlign w:val="bottom"/>
            <w:tcBorders>
              <w:bottom w:val="single" w:sz="8" w:color="auto"/>
            </w:tcBorders>
          </w:tcPr>
          <w:p>
            <w:pPr>
              <w:spacing w:after="0"/>
              <w:rPr>
                <w:sz w:val="11"/>
                <w:szCs w:val="11"/>
                <w:color w:val="auto"/>
              </w:rPr>
            </w:pPr>
          </w:p>
        </w:tc>
      </w:tr>
      <w:tr>
        <w:trPr>
          <w:trHeight w:val="270"/>
        </w:trPr>
        <w:tc>
          <w:tcPr>
            <w:tcW w:w="2660" w:type="dxa"/>
            <w:vAlign w:val="bottom"/>
          </w:tcPr>
          <w:p>
            <w:pPr>
              <w:spacing w:after="0"/>
              <w:rPr>
                <w:sz w:val="23"/>
                <w:szCs w:val="23"/>
                <w:color w:val="auto"/>
              </w:rPr>
            </w:pPr>
          </w:p>
        </w:tc>
        <w:tc>
          <w:tcPr>
            <w:tcW w:w="568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S-11</w:t>
            </w:r>
          </w:p>
        </w:tc>
      </w:tr>
    </w:tbl>
    <w:p>
      <w:pPr>
        <w:sectPr>
          <w:pgSz w:w="11900" w:h="16838" w:orient="portrait"/>
          <w:cols w:equalWidth="0" w:num="1">
            <w:col w:w="10159"/>
          </w:cols>
          <w:pgMar w:left="300" w:top="37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90" w:type="dxa"/>
        <w:tblCellMar>
          <w:top w:w="0" w:type="dxa"/>
          <w:left w:w="0" w:type="dxa"/>
          <w:bottom w:w="0" w:type="dxa"/>
          <w:right w:w="0" w:type="dxa"/>
        </w:tblCellMar>
      </w:tblPr>
      <w:tr>
        <w:trPr>
          <w:trHeight w:val="288"/>
        </w:trPr>
        <w:tc>
          <w:tcPr>
            <w:tcW w:w="2360" w:type="dxa"/>
            <w:vAlign w:val="bottom"/>
            <w:tcBorders>
              <w:top w:val="single" w:sz="8" w:color="auto"/>
              <w:left w:val="single" w:sz="8" w:color="auto"/>
            </w:tcBorders>
          </w:tcPr>
          <w:p>
            <w:pPr>
              <w:spacing w:after="0"/>
              <w:rPr>
                <w:sz w:val="24"/>
                <w:szCs w:val="24"/>
                <w:color w:val="auto"/>
              </w:rPr>
            </w:pPr>
          </w:p>
        </w:tc>
        <w:tc>
          <w:tcPr>
            <w:tcW w:w="598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   consolidate, merge, sell or otherwise dispose of all or substantially all of their</w:t>
            </w:r>
          </w:p>
        </w:tc>
      </w:tr>
      <w:tr>
        <w:trPr>
          <w:trHeight w:val="175"/>
        </w:trPr>
        <w:tc>
          <w:tcPr>
            <w:tcW w:w="236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respective assets; and</w:t>
            </w:r>
          </w:p>
        </w:tc>
      </w:tr>
      <w:tr>
        <w:trPr>
          <w:trHeight w:val="255"/>
        </w:trPr>
        <w:tc>
          <w:tcPr>
            <w:tcW w:w="2360" w:type="dxa"/>
            <w:vAlign w:val="bottom"/>
            <w:tcBorders>
              <w:left w:val="single" w:sz="8" w:color="auto"/>
            </w:tcBorders>
          </w:tcPr>
          <w:p>
            <w:pPr>
              <w:spacing w:after="0"/>
              <w:rPr>
                <w:sz w:val="22"/>
                <w:szCs w:val="22"/>
                <w:color w:val="auto"/>
              </w:rPr>
            </w:pPr>
          </w:p>
        </w:tc>
        <w:tc>
          <w:tcPr>
            <w:tcW w:w="59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   enter into sale and leaseback transactions.</w:t>
            </w:r>
          </w:p>
        </w:tc>
      </w:tr>
      <w:tr>
        <w:trPr>
          <w:trHeight w:val="333"/>
        </w:trPr>
        <w:tc>
          <w:tcPr>
            <w:tcW w:w="2360" w:type="dxa"/>
            <w:vAlign w:val="bottom"/>
            <w:tcBorders>
              <w:left w:val="single" w:sz="8" w:color="auto"/>
            </w:tcBorders>
          </w:tcPr>
          <w:p>
            <w:pPr>
              <w:spacing w:after="0"/>
              <w:rPr>
                <w:sz w:val="24"/>
                <w:szCs w:val="24"/>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These covenants are subject to important exceptions and qualifications as described under</w:t>
            </w:r>
          </w:p>
        </w:tc>
      </w:tr>
      <w:tr>
        <w:trPr>
          <w:trHeight w:val="177"/>
        </w:trPr>
        <w:tc>
          <w:tcPr>
            <w:tcW w:w="236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Description of Notes—Certain Covenants</w:t>
            </w:r>
            <w:r>
              <w:rPr>
                <w:rFonts w:ascii="Times New Roman" w:cs="Times New Roman" w:eastAsia="Times New Roman" w:hAnsi="Times New Roman"/>
                <w:sz w:val="14"/>
                <w:szCs w:val="14"/>
                <w:color w:val="auto"/>
              </w:rPr>
              <w:t>.”</w:t>
            </w:r>
          </w:p>
        </w:tc>
      </w:tr>
      <w:tr>
        <w:trPr>
          <w:trHeight w:val="335"/>
        </w:trPr>
        <w:tc>
          <w:tcPr>
            <w:tcW w:w="23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i w:val="1"/>
                <w:iCs w:val="1"/>
                <w:color w:val="auto"/>
              </w:rPr>
              <w:t>Minimum Denominations</w:t>
            </w: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The notes will be issued and may be transferred only in minimum denominations of $2,000</w:t>
            </w:r>
          </w:p>
        </w:tc>
      </w:tr>
      <w:tr>
        <w:trPr>
          <w:trHeight w:val="175"/>
        </w:trPr>
        <w:tc>
          <w:tcPr>
            <w:tcW w:w="236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and multiples of $1,000 in excess thereof.</w:t>
            </w:r>
          </w:p>
        </w:tc>
      </w:tr>
      <w:tr>
        <w:trPr>
          <w:trHeight w:val="335"/>
        </w:trPr>
        <w:tc>
          <w:tcPr>
            <w:tcW w:w="23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i w:val="1"/>
                <w:iCs w:val="1"/>
                <w:color w:val="auto"/>
              </w:rPr>
              <w:t>Trading</w:t>
            </w: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The notes will be new securities for which there are currently no markets. We do not intend</w:t>
            </w:r>
          </w:p>
        </w:tc>
      </w:tr>
      <w:tr>
        <w:trPr>
          <w:trHeight w:val="163"/>
        </w:trPr>
        <w:tc>
          <w:tcPr>
            <w:tcW w:w="236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to apply for listing of the notes on any securities exchange. Although the underwriters have</w:t>
            </w:r>
          </w:p>
        </w:tc>
      </w:tr>
      <w:tr>
        <w:trPr>
          <w:trHeight w:val="163"/>
        </w:trPr>
        <w:tc>
          <w:tcPr>
            <w:tcW w:w="236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informed us that they intend to make a market in the notes of each series, they are not</w:t>
            </w:r>
          </w:p>
        </w:tc>
      </w:tr>
      <w:tr>
        <w:trPr>
          <w:trHeight w:val="163"/>
        </w:trPr>
        <w:tc>
          <w:tcPr>
            <w:tcW w:w="236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obligated to do so, and they may discontinue market-making activities at any time without</w:t>
            </w:r>
          </w:p>
        </w:tc>
      </w:tr>
      <w:tr>
        <w:trPr>
          <w:trHeight w:val="161"/>
        </w:trPr>
        <w:tc>
          <w:tcPr>
            <w:tcW w:w="236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notice. Accordingly, we cannot assure you that liquid markets for the notes will develop or,</w:t>
            </w:r>
          </w:p>
        </w:tc>
      </w:tr>
      <w:tr>
        <w:trPr>
          <w:trHeight w:val="177"/>
        </w:trPr>
        <w:tc>
          <w:tcPr>
            <w:tcW w:w="236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if such markets develop, that they will be maintained.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w:t>
            </w:r>
          </w:p>
        </w:tc>
      </w:tr>
      <w:tr>
        <w:trPr>
          <w:trHeight w:val="333"/>
        </w:trPr>
        <w:tc>
          <w:tcPr>
            <w:tcW w:w="23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i w:val="1"/>
                <w:iCs w:val="1"/>
                <w:color w:val="auto"/>
              </w:rPr>
              <w:t>Use of Proceeds</w:t>
            </w: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We intend to use the net proceeds of the Offering for general corporate purposes, which</w:t>
            </w:r>
          </w:p>
        </w:tc>
      </w:tr>
      <w:tr>
        <w:trPr>
          <w:trHeight w:val="177"/>
        </w:trPr>
        <w:tc>
          <w:tcPr>
            <w:tcW w:w="236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may include the repayment of debt.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tc>
      </w:tr>
      <w:tr>
        <w:trPr>
          <w:trHeight w:val="347"/>
        </w:trPr>
        <w:tc>
          <w:tcPr>
            <w:tcW w:w="23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i w:val="1"/>
                <w:iCs w:val="1"/>
                <w:color w:val="auto"/>
              </w:rPr>
              <w:t>Trustee</w:t>
            </w: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The Bank of New York Mellon Trust Company, N.A.</w:t>
            </w:r>
          </w:p>
        </w:tc>
      </w:tr>
      <w:tr>
        <w:trPr>
          <w:trHeight w:val="344"/>
        </w:trPr>
        <w:tc>
          <w:tcPr>
            <w:tcW w:w="23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i w:val="1"/>
                <w:iCs w:val="1"/>
                <w:color w:val="auto"/>
              </w:rPr>
              <w:t>Risk Factors</w:t>
            </w: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You should consider carefully the risks, uncertainties and assumptions discussed under</w:t>
            </w:r>
          </w:p>
        </w:tc>
      </w:tr>
      <w:tr>
        <w:trPr>
          <w:trHeight w:val="165"/>
        </w:trPr>
        <w:tc>
          <w:tcPr>
            <w:tcW w:w="236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herein and in Dell Technologies’ Annual Report, along with the other</w:t>
            </w:r>
          </w:p>
        </w:tc>
      </w:tr>
      <w:tr>
        <w:trPr>
          <w:trHeight w:val="163"/>
        </w:trPr>
        <w:tc>
          <w:tcPr>
            <w:tcW w:w="236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information contained in or incorporated by reference into this prospectus supplement and</w:t>
            </w:r>
          </w:p>
        </w:tc>
      </w:tr>
      <w:tr>
        <w:trPr>
          <w:trHeight w:val="175"/>
        </w:trPr>
        <w:tc>
          <w:tcPr>
            <w:tcW w:w="236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the accompanying prospectus before deciding to invest in the notes.</w:t>
            </w:r>
          </w:p>
        </w:tc>
      </w:tr>
      <w:tr>
        <w:trPr>
          <w:trHeight w:val="129"/>
        </w:trPr>
        <w:tc>
          <w:tcPr>
            <w:tcW w:w="2360" w:type="dxa"/>
            <w:vAlign w:val="bottom"/>
            <w:tcBorders>
              <w:left w:val="single" w:sz="8" w:color="auto"/>
              <w:bottom w:val="single" w:sz="8" w:color="auto"/>
            </w:tcBorders>
          </w:tcPr>
          <w:p>
            <w:pPr>
              <w:spacing w:after="0"/>
              <w:rPr>
                <w:sz w:val="11"/>
                <w:szCs w:val="11"/>
                <w:color w:val="auto"/>
              </w:rPr>
            </w:pPr>
          </w:p>
        </w:tc>
        <w:tc>
          <w:tcPr>
            <w:tcW w:w="5980" w:type="dxa"/>
            <w:vAlign w:val="bottom"/>
            <w:tcBorders>
              <w:bottom w:val="single" w:sz="8" w:color="auto"/>
              <w:right w:val="single" w:sz="8" w:color="auto"/>
            </w:tcBorders>
          </w:tcPr>
          <w:p>
            <w:pPr>
              <w:spacing w:after="0"/>
              <w:rPr>
                <w:sz w:val="11"/>
                <w:szCs w:val="11"/>
                <w:color w:val="auto"/>
              </w:rPr>
            </w:pPr>
          </w:p>
        </w:tc>
      </w:tr>
      <w:tr>
        <w:trPr>
          <w:trHeight w:val="270"/>
        </w:trPr>
        <w:tc>
          <w:tcPr>
            <w:tcW w:w="2360" w:type="dxa"/>
            <w:vAlign w:val="bottom"/>
          </w:tcPr>
          <w:p>
            <w:pPr>
              <w:spacing w:after="0"/>
              <w:rPr>
                <w:sz w:val="23"/>
                <w:szCs w:val="23"/>
                <w:color w:val="auto"/>
              </w:rPr>
            </w:pPr>
          </w:p>
        </w:tc>
        <w:tc>
          <w:tcPr>
            <w:tcW w:w="598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S-12</w:t>
            </w:r>
          </w:p>
        </w:tc>
      </w:tr>
    </w:tbl>
    <w:p>
      <w:pPr>
        <w:sectPr>
          <w:pgSz w:w="11900" w:h="16838" w:orient="portrait"/>
          <w:cols w:equalWidth="0" w:num="1">
            <w:col w:w="10159"/>
          </w:cols>
          <w:pgMar w:left="300" w:top="37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ind w:left="1480" w:right="439" w:firstLine="333"/>
        <w:spacing w:after="0" w:line="246" w:lineRule="auto"/>
        <w:rPr>
          <w:sz w:val="20"/>
          <w:szCs w:val="20"/>
          <w:color w:val="auto"/>
        </w:rPr>
      </w:pPr>
      <w:r>
        <w:rPr>
          <w:rFonts w:ascii="Times New Roman" w:cs="Times New Roman" w:eastAsia="Times New Roman" w:hAnsi="Times New Roman"/>
          <w:sz w:val="14"/>
          <w:szCs w:val="14"/>
          <w:color w:val="auto"/>
        </w:rPr>
        <w:t>You should carefully consider the risk factors set forth below as well as the other information contained in this prospectus supplement and the accompanying prospectus, including those discussed in Dell Technologies’ Annual Report and in other documents that Dell Technologies files with the SEC that update, supplement or supersede such information, all of which are incorporated by reference into this prospectus supplement and the accompanying prospectus, before purchasing the notes. This prospectus supplement and the accompanying prospectus contain forward-looking statements that involve risks and uncertainties. If any of the events or developments described in the risk factors below actually occur, our business, financial condition or results of operations could be materially and adversely impacted. Additional risks and uncertainties not currently known to us or those we currently view to be immaterial may also materially and adversely affect our business, financial condition or results of operations. In such a case, you may lose all or part of your original investment.</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Risks Related to the Notes and the Offering</w:t>
      </w:r>
    </w:p>
    <w:p>
      <w:pPr>
        <w:spacing w:after="0" w:line="84" w:lineRule="exact"/>
        <w:rPr>
          <w:sz w:val="20"/>
          <w:szCs w:val="20"/>
          <w:color w:val="auto"/>
        </w:rPr>
      </w:pPr>
    </w:p>
    <w:p>
      <w:pPr>
        <w:ind w:left="1480" w:right="419" w:firstLine="333"/>
        <w:spacing w:after="0" w:line="356" w:lineRule="auto"/>
        <w:rPr>
          <w:sz w:val="20"/>
          <w:szCs w:val="20"/>
          <w:color w:val="auto"/>
        </w:rPr>
      </w:pPr>
      <w:r>
        <w:rPr>
          <w:rFonts w:ascii="Times New Roman" w:cs="Times New Roman" w:eastAsia="Times New Roman" w:hAnsi="Times New Roman"/>
          <w:sz w:val="12"/>
          <w:szCs w:val="12"/>
          <w:b w:val="1"/>
          <w:bCs w:val="1"/>
          <w:i w:val="1"/>
          <w:iCs w:val="1"/>
          <w:color w:val="auto"/>
        </w:rPr>
        <w:t>The notes will be structurally subordinated to the debt and other liabilities of subsidiaries of the issuers, who will not guarantee the notes, and your right to receive payments on the notes could be adversely affected if any of such subsidiaries declares bankruptcy, liquidates or reorganizes.</w:t>
      </w:r>
    </w:p>
    <w:p>
      <w:pPr>
        <w:spacing w:after="0" w:line="85"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Our obligations under the notes are structurally subordinated to the debt and other liabilities of subsidiaries of the issuers, who will not guarantee the notes. Holders of the notes will not have any claim as a creditor against such subsidiaries. In the event that any of such subsidiaries becomes insolvent, liquidates, reorganizes, dissolves or otherwise winds up, holders of their debt and their trade creditors will generally be entitled to payment on their claims from the assets of those subsidiaries before any of those assets are made available to us. Consequently, your claims in respect of the notes or note guarantees will be structurally subordinated to all of the liabilities of such subsidiaries. As of May 1, 2026, our non-guarantor subsidiaries (excluding the issuers) had $91.8 billion of total liabilities (excluding intercompany liabilities), all of which were structurally senior to the notes and the note guarantees.</w:t>
      </w:r>
    </w:p>
    <w:p>
      <w:pPr>
        <w:spacing w:after="0" w:line="225" w:lineRule="exact"/>
        <w:rPr>
          <w:sz w:val="20"/>
          <w:szCs w:val="20"/>
          <w:color w:val="auto"/>
        </w:rPr>
      </w:pPr>
    </w:p>
    <w:p>
      <w:pPr>
        <w:ind w:left="1480" w:right="459" w:firstLine="333"/>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terms of the Indenture that will govern the notes provide only limited protection against significant corporate events that could adversely impact your investment in the notes.</w:t>
      </w:r>
    </w:p>
    <w:p>
      <w:pPr>
        <w:spacing w:after="0" w:line="50"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While the Indenture that will govern the notes will contain terms intended to provide protection to noteholders upon the occurrence of certain events involving significant corporate transactions and our creditworthiness, these terms are limited and may not be sufficient to protect your investment in the notes. For example, certain important corporate events, such as leveraged recapitalizations, may not, under the Indenture that will govern the notes, constitute a “change of control” that would require us to repurchase the notes, even though those corporate events could increase the level of our indebtedness or otherwise adversely affect our capital structure, credit ratings or the value of the notes. See “</w:t>
      </w:r>
      <w:r>
        <w:rPr>
          <w:rFonts w:ascii="Times New Roman" w:cs="Times New Roman" w:eastAsia="Times New Roman" w:hAnsi="Times New Roman"/>
          <w:sz w:val="14"/>
          <w:szCs w:val="14"/>
          <w:i w:val="1"/>
          <w:iCs w:val="1"/>
          <w:color w:val="auto"/>
        </w:rPr>
        <w:t>Description of Notes—Change of Control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Triggering Event</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In addition, the Indenture for the notes does not:</w:t>
      </w:r>
    </w:p>
    <w:p>
      <w:pPr>
        <w:spacing w:after="0" w:line="94" w:lineRule="exact"/>
        <w:rPr>
          <w:sz w:val="20"/>
          <w:szCs w:val="20"/>
          <w:color w:val="auto"/>
        </w:rPr>
      </w:pPr>
    </w:p>
    <w:p>
      <w:pPr>
        <w:ind w:left="2220" w:hanging="334"/>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maintain any financial ratios or specific levels of net worth, revenues, income, cash flow or liquidity;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incur unsecured indebtedness;</w:t>
      </w:r>
    </w:p>
    <w:p>
      <w:pPr>
        <w:spacing w:after="0" w:line="94" w:lineRule="exact"/>
        <w:rPr>
          <w:rFonts w:ascii="Times New Roman" w:cs="Times New Roman" w:eastAsia="Times New Roman" w:hAnsi="Times New Roman"/>
          <w:sz w:val="14"/>
          <w:szCs w:val="14"/>
          <w:color w:val="auto"/>
        </w:rPr>
      </w:pPr>
    </w:p>
    <w:p>
      <w:pPr>
        <w:ind w:left="2220" w:right="779" w:hanging="334"/>
        <w:spacing w:after="0" w:line="264"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subsidiaries’ ability to issue securities or otherwise incur indebtedness that would be senior to our equity interests in our subsidiaries and therefore rank effectively senior to the notes;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repurchase or prepay any other of our securities or other indebtedness;</w:t>
      </w:r>
    </w:p>
    <w:p>
      <w:pPr>
        <w:spacing w:after="0" w:line="94" w:lineRule="exact"/>
        <w:rPr>
          <w:rFonts w:ascii="Times New Roman" w:cs="Times New Roman" w:eastAsia="Times New Roman" w:hAnsi="Times New Roman"/>
          <w:sz w:val="14"/>
          <w:szCs w:val="14"/>
          <w:color w:val="auto"/>
        </w:rPr>
      </w:pPr>
    </w:p>
    <w:p>
      <w:pPr>
        <w:ind w:left="2220" w:right="619" w:hanging="334"/>
        <w:spacing w:after="0" w:line="264"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make investments or to pay dividends or make other payments in respect of our common stock or other securities ranking junior to the notes; or</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sell, merge or consolidate any of our subsidiaries.</w:t>
      </w:r>
    </w:p>
    <w:p>
      <w:pPr>
        <w:spacing w:after="0" w:line="1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7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As a result of the foregoing, when evaluating the terms of the notes, you should be aware that the terms of the Indenture that will govern the notes do not restrict our ability to engage in, or to otherwise be a party to, a variety of corporate transactions, circumstances and events that could have an adverse impact on your investment in the notes.</w:t>
      </w:r>
    </w:p>
    <w:p>
      <w:pPr>
        <w:spacing w:after="0" w:line="220" w:lineRule="exact"/>
        <w:rPr>
          <w:sz w:val="20"/>
          <w:szCs w:val="20"/>
          <w:color w:val="auto"/>
        </w:rPr>
      </w:pPr>
    </w:p>
    <w:p>
      <w:pPr>
        <w:ind w:left="1480" w:right="3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not have sufficient cash flows from operating activities to service our indebtedness and meet our other cash needs and may be forced to take other actions to satisfy our obligations under our indebtedness, which may not be successful.</w:t>
      </w:r>
    </w:p>
    <w:p>
      <w:pPr>
        <w:spacing w:after="0" w:line="50"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Our ability to make payments on and to refinance our indebtedness will depend on our ability to generate cash in the future. Our ability to generate cash will be subject to general economic, financial, competitive, legislative, regulatory and other factors, some of which are beyond our control. Our future cash flow, cash on hand and available borrowings may not be sufficient to meet our obligations and commitments. If we are unable to generate sufficient cash flow from operations in the future to service our indebtedness and to meet our other commitments, we will be required to adopt one or more alternatives, such as refinancing or restructuring our indebtedness (including the notes), selling material assets or operations or seeking to raise additional debt or equity capital. These actions may not be effected on a timely basis or on satisfactory terms or at all, or these actions may not enable us to continue to satisfy our capital requirements. Our failure to comply with these covenants could result in an event of default which, if not cured or waived, could result in the acceleration of all our debts. See “</w:t>
      </w:r>
      <w:r>
        <w:rPr>
          <w:rFonts w:ascii="Times New Roman" w:cs="Times New Roman" w:eastAsia="Times New Roman" w:hAnsi="Times New Roman"/>
          <w:sz w:val="14"/>
          <w:szCs w:val="14"/>
          <w:i w:val="1"/>
          <w:iCs w:val="1"/>
          <w:color w:val="auto"/>
        </w:rPr>
        <w:t>Description of Notes.</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left="1480" w:right="439" w:firstLine="333"/>
        <w:spacing w:after="0" w:line="246" w:lineRule="auto"/>
        <w:rPr>
          <w:sz w:val="20"/>
          <w:szCs w:val="20"/>
          <w:color w:val="auto"/>
        </w:rPr>
      </w:pPr>
      <w:r>
        <w:rPr>
          <w:rFonts w:ascii="Times New Roman" w:cs="Times New Roman" w:eastAsia="Times New Roman" w:hAnsi="Times New Roman"/>
          <w:sz w:val="14"/>
          <w:szCs w:val="14"/>
          <w:color w:val="auto"/>
        </w:rPr>
        <w:t>In addition, we conduct substantially all of our operations through our subsidiaries, none of which (other than the issuers and the guarantors) will be obligors under the notes. Accordingly, repayment of our indebtedness, including the notes, will be dependent in part on the generation of cash flow by our subsidiaries and their ability to make such cash available to the issuers or the guarantors by dividend, debt repayment or otherwise. Unless they are guarantors of the notes or our other indebtedness, the subsidiaries will not have any obligation to pay amounts due on the notes or our other indebtedness, as applicable, or to make funds available for that purpose. Our subsidiaries may not be able to, or may not be permitted to, make distributions to enable us or the issuers to make payments in respect of our indebtedness, including the notes. Each subsidiary is a distinct legal entity, and under certain circumstances legal and contractual restrictions may limit our ability to obtain cash from our subsidiaries. In the event that we, the issuers or the guarantors do not receive distributions from our subsidiaries, we may be unable to make the required principal and interest payments on our indebtedness, including the notes.</w:t>
      </w:r>
    </w:p>
    <w:p>
      <w:pPr>
        <w:spacing w:after="0" w:line="149"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If we cannot make scheduled payments on our debt, we will be in default, and as a result, holders of the notes and certain of our other indebtedness could declare all outstanding principal and interest to be due and payable, the lenders under the new revolving credit facility could terminate their commitments to loan money and we could be forced into bankruptcy or liquidation, which, in each case, could result in your losing all or a portion of your investment in the notes.</w:t>
      </w:r>
    </w:p>
    <w:p>
      <w:pPr>
        <w:spacing w:after="0" w:line="224" w:lineRule="exact"/>
        <w:rPr>
          <w:sz w:val="20"/>
          <w:szCs w:val="20"/>
          <w:color w:val="auto"/>
        </w:rPr>
      </w:pPr>
    </w:p>
    <w:p>
      <w:pPr>
        <w:ind w:left="1480" w:right="37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We and our subsidiaries are not restricted from incurring significant additional debt, including significant secured debt and including in connection with significant transactions that would not constitute a change of control requiring us to repurchase the notes, but that could adversely affect our risk profile.</w:t>
      </w:r>
    </w:p>
    <w:p>
      <w:pPr>
        <w:spacing w:after="0" w:line="59" w:lineRule="exact"/>
        <w:rPr>
          <w:sz w:val="20"/>
          <w:szCs w:val="20"/>
          <w:color w:val="auto"/>
        </w:rPr>
      </w:pPr>
    </w:p>
    <w:p>
      <w:pPr>
        <w:ind w:left="1480" w:right="399" w:firstLine="333"/>
        <w:spacing w:after="0" w:line="297" w:lineRule="auto"/>
        <w:rPr>
          <w:sz w:val="20"/>
          <w:szCs w:val="20"/>
          <w:color w:val="auto"/>
        </w:rPr>
      </w:pPr>
      <w:r>
        <w:rPr>
          <w:rFonts w:ascii="Times New Roman" w:cs="Times New Roman" w:eastAsia="Times New Roman" w:hAnsi="Times New Roman"/>
          <w:sz w:val="12"/>
          <w:szCs w:val="12"/>
          <w:color w:val="auto"/>
        </w:rPr>
        <w:t>We and our subsidiaries may be able to incur substantial additional indebtedness, including significant additional secured indebtedness, in the future. The Indenture that will govern the notes, and the new credit agreement that governs the new revolving credit facility, do not restrict our ability to incur additional unsecured debt, except that the new credit agreement contains a quarterly covenant to maintain a consolidated interest coverage ratio of at least 3.00 to 1.00. In addition, while the new credit agreement restricts liens on the assets of Dell and its restricted subsidiaries to secure indebtedness (subject to certain exceptions described therein), the Indenture that will govern the notes will allow us to grant liens on our assets (other than Principal Properties, as described in “</w:t>
      </w:r>
      <w:r>
        <w:rPr>
          <w:rFonts w:ascii="Times New Roman" w:cs="Times New Roman" w:eastAsia="Times New Roman" w:hAnsi="Times New Roman"/>
          <w:sz w:val="12"/>
          <w:szCs w:val="12"/>
          <w:i w:val="1"/>
          <w:iCs w:val="1"/>
          <w:color w:val="auto"/>
        </w:rPr>
        <w:t>Description of Notes</w:t>
      </w:r>
      <w:r>
        <w:rPr>
          <w:rFonts w:ascii="Times New Roman" w:cs="Times New Roman" w:eastAsia="Times New Roman" w:hAnsi="Times New Roman"/>
          <w:sz w:val="12"/>
          <w:szCs w:val="12"/>
          <w:color w:val="auto"/>
        </w:rPr>
        <w:t>”) without ratably securing the notes. Under certain circumstances, the amount</w:t>
      </w:r>
    </w:p>
    <w:p>
      <w:pPr>
        <w:spacing w:after="0" w:line="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7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of secured and unsecured indebtedness that we may incur while remaining in compliance with these restrictions could be substantial.</w:t>
      </w:r>
    </w:p>
    <w:p>
      <w:pPr>
        <w:spacing w:after="0" w:line="166"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Such additional indebtedness may be incurred in connection with certain transactions, including certain recapitalizations, that would not result in a change of control requiring us to repurchase the notes, but would increase the amount of indebtedness outstanding at such time or otherwise affect our capital structure or credit ratings.</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finance a change of control offer as required by the Indenture that will govern the notes offered hereby.</w:t>
      </w:r>
    </w:p>
    <w:p>
      <w:pPr>
        <w:spacing w:after="0" w:line="88" w:lineRule="exact"/>
        <w:rPr>
          <w:sz w:val="20"/>
          <w:szCs w:val="20"/>
          <w:color w:val="auto"/>
        </w:rPr>
      </w:pPr>
    </w:p>
    <w:p>
      <w:pPr>
        <w:ind w:left="1480" w:right="459" w:firstLine="333"/>
        <w:spacing w:after="0" w:line="245" w:lineRule="auto"/>
        <w:rPr>
          <w:sz w:val="20"/>
          <w:szCs w:val="20"/>
          <w:color w:val="auto"/>
        </w:rPr>
      </w:pPr>
      <w:r>
        <w:rPr>
          <w:rFonts w:ascii="Times New Roman" w:cs="Times New Roman" w:eastAsia="Times New Roman" w:hAnsi="Times New Roman"/>
          <w:sz w:val="14"/>
          <w:szCs w:val="14"/>
          <w:color w:val="auto"/>
        </w:rPr>
        <w:t>Under the Indenture that will govern the notes offered hereby, upon the occurrence of a Change of Control Triggering Event, we will be required to offer to repurchase all of the notes then outstanding at 101% of the principal amount of the notes (or such higher amount as the issuers may determine), plus any accrued and unpaid interest, if any, to, but not including, the repurchase date. We may not be able to repurchase the notes upon a Change of Control Triggering Event because we may not have sufficient financial resources to purchase all of the notes that would be tendered upon a Change of Control Triggering Event. Our failure to repurchase the notes upon a Change of Control Triggering Event would cause an event of default under the Indenture that will govern the notes offered hereby and a cross-default under the new revolving credit facility. The new credit agreement governing the new revolving credit facility also provides that a change of control triggering event (as described therein) is an event of default that permits lenders to, among other things, terminate their commitments and accelerate the maturity of borrowings thereunder. Any of our future debt arrangements may contain similar provisions. We cannot assure you that we will have the financial resources available or that we will be permitted by our debt instruments to fulfill these obligations upon the occurrence of a Change of Control Triggering Event in the future. We may require additional financing from third parties to fund any such purchases, and we may be unable to obtain financing on satisfactory terms or at all. Further, our ability to repurchase the notes may be limited by law.</w:t>
      </w:r>
    </w:p>
    <w:p>
      <w:pPr>
        <w:spacing w:after="0" w:line="230" w:lineRule="exact"/>
        <w:rPr>
          <w:sz w:val="20"/>
          <w:szCs w:val="20"/>
          <w:color w:val="auto"/>
        </w:rPr>
      </w:pPr>
    </w:p>
    <w:p>
      <w:pPr>
        <w:ind w:left="1480" w:right="5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Holders of the notes may not be able to determine when a change of control giving rise to their right to have the notes repurchased has occurred following a sale of “substantially all” of our assets.</w:t>
      </w:r>
    </w:p>
    <w:p>
      <w:pPr>
        <w:spacing w:after="0" w:line="50" w:lineRule="exact"/>
        <w:rPr>
          <w:sz w:val="20"/>
          <w:szCs w:val="20"/>
          <w:color w:val="auto"/>
        </w:rPr>
      </w:pPr>
    </w:p>
    <w:p>
      <w:pPr>
        <w:ind w:left="1480" w:right="399" w:firstLine="333"/>
        <w:spacing w:after="0" w:line="250" w:lineRule="auto"/>
        <w:rPr>
          <w:sz w:val="20"/>
          <w:szCs w:val="20"/>
          <w:color w:val="auto"/>
        </w:rPr>
      </w:pPr>
      <w:r>
        <w:rPr>
          <w:rFonts w:ascii="Times New Roman" w:cs="Times New Roman" w:eastAsia="Times New Roman" w:hAnsi="Times New Roman"/>
          <w:sz w:val="14"/>
          <w:szCs w:val="14"/>
          <w:color w:val="auto"/>
        </w:rPr>
        <w:t>One of the circumstances under which a change of control may occur is upon the sale or disposition of “all or substantially all” of our assets. There is no precise established definition of the phrase “substantially all” under applicable law, and the interpretation of that phrase will likely depend upon particular facts and circumstances. Accordingly, the ability of a holder of notes to require us to repurchase its notes as a result of a sale of less than all our assets to another person may be uncertain.</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Ratings of the notes and other factors may affect the market prices and marketability of the notes.</w:t>
      </w:r>
    </w:p>
    <w:p>
      <w:pPr>
        <w:spacing w:after="0" w:line="88" w:lineRule="exact"/>
        <w:rPr>
          <w:sz w:val="20"/>
          <w:szCs w:val="20"/>
          <w:color w:val="auto"/>
        </w:rPr>
      </w:pPr>
    </w:p>
    <w:p>
      <w:pPr>
        <w:ind w:left="1480" w:right="419" w:firstLine="333"/>
        <w:spacing w:after="0" w:line="293" w:lineRule="auto"/>
        <w:rPr>
          <w:sz w:val="20"/>
          <w:szCs w:val="20"/>
          <w:color w:val="auto"/>
        </w:rPr>
      </w:pPr>
      <w:r>
        <w:rPr>
          <w:rFonts w:ascii="Times New Roman" w:cs="Times New Roman" w:eastAsia="Times New Roman" w:hAnsi="Times New Roman"/>
          <w:sz w:val="12"/>
          <w:szCs w:val="12"/>
          <w:color w:val="auto"/>
        </w:rPr>
        <w:t>We currently expect that, upon issuance, the notes will be rated by Moody’s, S&amp;P, and Fitch. Such ratings will be limited in scope and will not address all material risks relating to an investment in the notes, but rather will reflect only the view of each rating agency at the time it issues the rating. An explanation of the significance of such rating may be obtained from such rating agency. There is no assurance that such credit ratings will be issued or remain in effect for any given period of time or that such ratings will not be lowered, suspended or withdrawn entirely by the rating agencies, if, in each rating agency’s judgment, circumstances so warrant. It is also possible that such ratings may be lowered in connection with the Offering or in connection with future events, such as future acquisitions. Holders of the notes will have no recourse against us or any other parties in the event of a change in or suspension or withdrawal of such ratings. Any lowering, suspension or withdrawal of such ratings may have an adverse effect on the market prices or marketability of the notes. In addition, the condition of the financial markets, prevailing interest rates and other factors have fluctuated in the past and are likely to fluctuate in the future, which may adversely affect the market prices or marketability of the notes.</w:t>
      </w:r>
    </w:p>
    <w:p>
      <w:pPr>
        <w:spacing w:after="0" w:line="2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7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We cannot assure you that an active trading market will develop for the notes.</w:t>
      </w:r>
    </w:p>
    <w:p>
      <w:pPr>
        <w:spacing w:after="0" w:line="88" w:lineRule="exact"/>
        <w:rPr>
          <w:sz w:val="20"/>
          <w:szCs w:val="20"/>
          <w:color w:val="auto"/>
        </w:rPr>
      </w:pPr>
    </w:p>
    <w:p>
      <w:pPr>
        <w:ind w:left="1480" w:right="399" w:firstLine="333"/>
        <w:spacing w:after="0" w:line="297" w:lineRule="auto"/>
        <w:rPr>
          <w:sz w:val="20"/>
          <w:szCs w:val="20"/>
          <w:color w:val="auto"/>
        </w:rPr>
      </w:pPr>
      <w:r>
        <w:rPr>
          <w:rFonts w:ascii="Times New Roman" w:cs="Times New Roman" w:eastAsia="Times New Roman" w:hAnsi="Times New Roman"/>
          <w:sz w:val="12"/>
          <w:szCs w:val="12"/>
          <w:color w:val="auto"/>
        </w:rPr>
        <w:t>The notes constitute new issues of securities for which there are no existing trading markets. We do not currently plan to list the notes on any national securities exchange. We have been advised by the underwriters for this offering that they presently intend to make a market in the notes of each series after the consummation of the offering contemplated by this prospectus supplement, although they are under no obligation to do so and may discontinue any market-making activities at any time without any notice. The liquidity of any market for the notes will depend upon the number of holders of those notes, our performance, the market for similar securities, the interest of securities dealers in making a market in those notes and other factors. Liquid trading markets may not develop for the notes. As a result, the market prices of the notes could be adversely affected.</w:t>
      </w:r>
    </w:p>
    <w:p>
      <w:pPr>
        <w:spacing w:after="0" w:line="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7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1079" w:firstLine="333"/>
        <w:spacing w:after="0" w:line="349" w:lineRule="auto"/>
        <w:rPr>
          <w:sz w:val="20"/>
          <w:szCs w:val="20"/>
          <w:color w:val="auto"/>
        </w:rPr>
      </w:pPr>
      <w:r>
        <w:rPr>
          <w:rFonts w:ascii="Times New Roman" w:cs="Times New Roman" w:eastAsia="Times New Roman" w:hAnsi="Times New Roman"/>
          <w:sz w:val="12"/>
          <w:szCs w:val="12"/>
          <w:color w:val="auto"/>
        </w:rPr>
        <w:t>We estimate that the net proceeds of the Offering (after underwriting discounts and before offering expenses) will be approximately $2,967 million. We intend to use the net proceeds of the Offering for general corporate purposes, which may include the repayment of debt.</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7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following table sets forth our cash and cash equivalents and total capitalization as of May 1, 2026:</w:t>
      </w:r>
    </w:p>
    <w:p>
      <w:pPr>
        <w:spacing w:after="0" w:line="94" w:lineRule="exact"/>
        <w:rPr>
          <w:sz w:val="20"/>
          <w:szCs w:val="20"/>
          <w:color w:val="auto"/>
        </w:rPr>
      </w:pPr>
    </w:p>
    <w:p>
      <w:pPr>
        <w:ind w:left="2220" w:hanging="334"/>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historical basis; and</w:t>
      </w:r>
    </w:p>
    <w:p>
      <w:pPr>
        <w:spacing w:after="0" w:line="94" w:lineRule="exact"/>
        <w:rPr>
          <w:rFonts w:ascii="Times New Roman" w:cs="Times New Roman" w:eastAsia="Times New Roman" w:hAnsi="Times New Roman"/>
          <w:sz w:val="14"/>
          <w:szCs w:val="14"/>
          <w:color w:val="auto"/>
        </w:rPr>
      </w:pPr>
    </w:p>
    <w:p>
      <w:pPr>
        <w:ind w:left="2220" w:right="479" w:hanging="334"/>
        <w:spacing w:after="0" w:line="26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adjusted basis after giving effect to (i) this Offering and (ii) our entry into the new revolving credit facility on June 10, 2026 and the related termination of our prior revolving credit facility.</w:t>
      </w:r>
    </w:p>
    <w:p>
      <w:pPr>
        <w:spacing w:after="0" w:line="134" w:lineRule="exact"/>
        <w:rPr>
          <w:sz w:val="20"/>
          <w:szCs w:val="20"/>
          <w:color w:val="auto"/>
        </w:rPr>
      </w:pPr>
    </w:p>
    <w:p>
      <w:pPr>
        <w:ind w:left="1480" w:right="359" w:firstLine="333"/>
        <w:spacing w:after="0" w:line="251" w:lineRule="auto"/>
        <w:rPr>
          <w:sz w:val="20"/>
          <w:szCs w:val="20"/>
          <w:color w:val="auto"/>
        </w:rPr>
      </w:pPr>
      <w:r>
        <w:rPr>
          <w:rFonts w:ascii="Times New Roman" w:cs="Times New Roman" w:eastAsia="Times New Roman" w:hAnsi="Times New Roman"/>
          <w:sz w:val="14"/>
          <w:szCs w:val="14"/>
          <w:color w:val="auto"/>
        </w:rPr>
        <w:t>The information in this table should be read in conjunction with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included elsewhere in this prospectus supplement and the accompanying prospectus. You should also read the “</w:t>
      </w:r>
      <w:r>
        <w:rPr>
          <w:rFonts w:ascii="Times New Roman" w:cs="Times New Roman" w:eastAsia="Times New Roman" w:hAnsi="Times New Roman"/>
          <w:sz w:val="14"/>
          <w:szCs w:val="14"/>
          <w:i w:val="1"/>
          <w:iCs w:val="1"/>
          <w:color w:val="auto"/>
        </w:rPr>
        <w:t>Management’s Discussion and</w:t>
      </w:r>
      <w:r>
        <w:rPr>
          <w:rFonts w:ascii="Times New Roman" w:cs="Times New Roman" w:eastAsia="Times New Roman" w:hAnsi="Times New Roman"/>
          <w:sz w:val="14"/>
          <w:szCs w:val="14"/>
          <w:color w:val="auto"/>
        </w:rPr>
        <w:t xml:space="preserve"> Analysis </w:t>
      </w:r>
      <w:r>
        <w:rPr>
          <w:rFonts w:ascii="Times New Roman" w:cs="Times New Roman" w:eastAsia="Times New Roman" w:hAnsi="Times New Roman"/>
          <w:sz w:val="14"/>
          <w:szCs w:val="14"/>
          <w:i w:val="1"/>
          <w:iCs w:val="1"/>
          <w:color w:val="auto"/>
        </w:rPr>
        <w:t>of Financial Condition and Results of Operations</w:t>
      </w:r>
      <w:r>
        <w:rPr>
          <w:rFonts w:ascii="Times New Roman" w:cs="Times New Roman" w:eastAsia="Times New Roman" w:hAnsi="Times New Roman"/>
          <w:sz w:val="14"/>
          <w:szCs w:val="14"/>
          <w:color w:val="auto"/>
        </w:rPr>
        <w:t>,” as well as the financial statements included in Dell Technologies’ Annual Report for Fiscal 2026 and Quarterly Report for the quarterly period ended May 1, 2026, in each case incorporated by reference into this prospectus supplement and the accompanying prospectus.</w:t>
      </w:r>
    </w:p>
    <w:p>
      <w:pPr>
        <w:spacing w:after="0" w:line="145"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2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As of May 1,</w:t>
            </w:r>
          </w:p>
        </w:tc>
        <w:tc>
          <w:tcPr>
            <w:tcW w:w="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1"/>
                <w:szCs w:val="11"/>
                <w:b w:val="1"/>
                <w:bCs w:val="1"/>
                <w:color w:val="auto"/>
              </w:rPr>
              <w:t>for this</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4"/>
              </w:rPr>
              <w:t>Offering</w:t>
            </w:r>
          </w:p>
        </w:tc>
        <w:tc>
          <w:tcPr>
            <w:tcW w:w="0" w:type="dxa"/>
            <w:vAlign w:val="bottom"/>
          </w:tcPr>
          <w:p>
            <w:pPr>
              <w:spacing w:after="0"/>
              <w:rPr>
                <w:sz w:val="1"/>
                <w:szCs w:val="1"/>
                <w:color w:val="auto"/>
              </w:rPr>
            </w:pPr>
          </w:p>
        </w:tc>
      </w:tr>
      <w:tr>
        <w:trPr>
          <w:trHeight w:val="103"/>
        </w:trPr>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(in millions)</w:t>
            </w: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equivalents(1)</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11,578</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color w:val="auto"/>
              </w:rPr>
              <w:t>Debt: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5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Prior revolving credit facility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New revolving credit facility(2)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Existing notes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22,025</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DFS debt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9,278</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Notes offered hereby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5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debt</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 principal amount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31,413</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Unamortized discounts, net of unamortized premium(3)</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0" w:type="dxa"/>
            <w:vAlign w:val="bottom"/>
          </w:tcPr>
          <w:p>
            <w:pPr>
              <w:spacing w:after="0"/>
              <w:rPr>
                <w:sz w:val="12"/>
                <w:szCs w:val="12"/>
                <w:color w:val="auto"/>
              </w:rPr>
            </w:pPr>
          </w:p>
        </w:tc>
        <w:tc>
          <w:tcPr>
            <w:tcW w:w="5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(109)</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Debt issuance costs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58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debt, carrying value</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31,161</w:t>
            </w:r>
          </w:p>
        </w:tc>
        <w:tc>
          <w:tcPr>
            <w:tcW w:w="5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0" w:type="dxa"/>
            <w:vAlign w:val="bottom"/>
          </w:tcPr>
          <w:p>
            <w:pPr>
              <w:spacing w:after="0"/>
              <w:rPr>
                <w:sz w:val="12"/>
                <w:szCs w:val="12"/>
                <w:color w:val="auto"/>
              </w:rPr>
            </w:pPr>
          </w:p>
        </w:tc>
        <w:tc>
          <w:tcPr>
            <w:tcW w:w="588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5" w:lineRule="exact"/>
              <w:rPr>
                <w:sz w:val="20"/>
                <w:szCs w:val="20"/>
                <w:color w:val="auto"/>
              </w:rPr>
            </w:pPr>
            <w:r>
              <w:rPr>
                <w:rFonts w:ascii="Times New Roman" w:cs="Times New Roman" w:eastAsia="Times New Roman" w:hAnsi="Times New Roman"/>
                <w:sz w:val="14"/>
                <w:szCs w:val="14"/>
                <w:color w:val="auto"/>
              </w:rPr>
              <w:t>(1,404)</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(1,404)</w:t>
            </w:r>
          </w:p>
        </w:tc>
        <w:tc>
          <w:tcPr>
            <w:tcW w:w="0" w:type="dxa"/>
            <w:vAlign w:val="bottom"/>
          </w:tcPr>
          <w:p>
            <w:pPr>
              <w:spacing w:after="0"/>
              <w:rPr>
                <w:sz w:val="1"/>
                <w:szCs w:val="1"/>
                <w:color w:val="auto"/>
              </w:rPr>
            </w:pPr>
          </w:p>
        </w:tc>
      </w:tr>
      <w:tr>
        <w:trPr>
          <w:trHeight w:val="164"/>
        </w:trPr>
        <w:tc>
          <w:tcPr>
            <w:tcW w:w="62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Total capitalization</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29,757</w:t>
            </w:r>
          </w:p>
        </w:tc>
        <w:tc>
          <w:tcPr>
            <w:tcW w:w="5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800" w:right="439" w:hanging="323"/>
        <w:spacing w:after="0" w:line="294" w:lineRule="auto"/>
        <w:tabs>
          <w:tab w:leader="none" w:pos="18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adjusted amount (i) includes the cash proceeds of the principal amount of the notes issued hereby net of approximately $18 million of original issue discount and (ii) does not reflect the use of cash and cash equivalents for the payment of underwriting discounts of approximately</w:t>
      </w:r>
    </w:p>
    <w:p>
      <w:pPr>
        <w:ind w:left="18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$15 million and other fees and expenses related to this Offering.</w:t>
      </w:r>
    </w:p>
    <w:p>
      <w:pPr>
        <w:spacing w:after="0" w:line="2" w:lineRule="exact"/>
        <w:rPr>
          <w:rFonts w:ascii="Times New Roman" w:cs="Times New Roman" w:eastAsia="Times New Roman" w:hAnsi="Times New Roman"/>
          <w:sz w:val="12"/>
          <w:szCs w:val="12"/>
          <w:color w:val="auto"/>
        </w:rPr>
      </w:pPr>
    </w:p>
    <w:p>
      <w:pPr>
        <w:ind w:left="1800" w:hanging="323"/>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“Summary—Recent Developments.”</w:t>
      </w:r>
    </w:p>
    <w:p>
      <w:pPr>
        <w:spacing w:after="0" w:line="2" w:lineRule="exact"/>
        <w:rPr>
          <w:rFonts w:ascii="Times New Roman" w:cs="Times New Roman" w:eastAsia="Times New Roman" w:hAnsi="Times New Roman"/>
          <w:sz w:val="14"/>
          <w:szCs w:val="14"/>
          <w:color w:val="auto"/>
        </w:rPr>
      </w:pPr>
    </w:p>
    <w:p>
      <w:pPr>
        <w:ind w:left="1800" w:hanging="323"/>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amount does not give effect to debt issuance costs relating to this Offering.</w:t>
      </w:r>
    </w:p>
    <w:p>
      <w:pPr>
        <w:spacing w:after="0" w:line="1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7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NOTES</w:t>
      </w:r>
    </w:p>
    <w:p>
      <w:pPr>
        <w:spacing w:after="0" w:line="170" w:lineRule="exact"/>
        <w:rPr>
          <w:sz w:val="20"/>
          <w:szCs w:val="20"/>
          <w:color w:val="auto"/>
        </w:rPr>
      </w:pPr>
    </w:p>
    <w:p>
      <w:pPr>
        <w:ind w:left="1480" w:right="699" w:firstLine="333"/>
        <w:spacing w:after="0" w:line="264" w:lineRule="auto"/>
        <w:rPr>
          <w:sz w:val="20"/>
          <w:szCs w:val="20"/>
          <w:color w:val="auto"/>
        </w:rPr>
      </w:pPr>
      <w:r>
        <w:rPr>
          <w:rFonts w:ascii="Times New Roman" w:cs="Times New Roman" w:eastAsia="Times New Roman" w:hAnsi="Times New Roman"/>
          <w:sz w:val="14"/>
          <w:szCs w:val="14"/>
          <w:color w:val="auto"/>
        </w:rPr>
        <w:t>The Notes (as defined below) offered by this prospectus supplement are “debt securities” as described in the accompanying prospectus. This description supplements the description of the debt securities found in the accompanying prospectus.</w:t>
      </w:r>
    </w:p>
    <w:p>
      <w:pPr>
        <w:spacing w:after="0" w:line="136" w:lineRule="exact"/>
        <w:rPr>
          <w:sz w:val="20"/>
          <w:szCs w:val="20"/>
          <w:color w:val="auto"/>
        </w:rPr>
      </w:pPr>
    </w:p>
    <w:p>
      <w:pPr>
        <w:ind w:left="1480" w:right="399" w:firstLine="333"/>
        <w:spacing w:after="0" w:line="246" w:lineRule="auto"/>
        <w:rPr>
          <w:sz w:val="20"/>
          <w:szCs w:val="20"/>
          <w:color w:val="auto"/>
        </w:rPr>
      </w:pPr>
      <w:r>
        <w:rPr>
          <w:rFonts w:ascii="Times New Roman" w:cs="Times New Roman" w:eastAsia="Times New Roman" w:hAnsi="Times New Roman"/>
          <w:sz w:val="14"/>
          <w:szCs w:val="14"/>
          <w:color w:val="auto"/>
        </w:rPr>
        <w:t>The Issuers will issue $1,000,000,000 aggregate principal amount of 4.750% Senior Notes due 2031 (the “2031 Notes”), $750,000,000 aggregate principal amount of 5.000% Senior Notes due 2034 (the “2034 Notes”) and $1,250,000,000 aggregate principal amount of 5.250% Senior Notes due 2037 (the “2037 Notes” and, together with the 2031 Notes and the 2034 Notes, the “Notes” and each, a “series” of Notes), pursuant to an indenture, dated as of January 24, 2023 (the “Base Indenture”), among the Issuers, the Guarantors and The Bank of New York Mellon Trust Company, N.A., as trustee (the “Trustee”). The Base Indenture will be supplemented by a supplemental indenture, to be dated as of the Issue Date, for each series of Notes. Each supplemental indenture will set forth certain specific terms applicable only to the particular series of Notes governed thereby and references to the “Indenture” herein mean the Base Indenture as amended and supplemented by any supplemental indenture. The terms of the Notes will include the terms stated in the Indenture and the terms made part of the Indenture by reference to the Trust Indenture Act of 1939, as amended (the “Trust Indenture Act”).</w:t>
      </w:r>
    </w:p>
    <w:p>
      <w:pPr>
        <w:spacing w:after="0" w:line="149" w:lineRule="exact"/>
        <w:rPr>
          <w:sz w:val="20"/>
          <w:szCs w:val="20"/>
          <w:color w:val="auto"/>
        </w:rPr>
      </w:pPr>
    </w:p>
    <w:p>
      <w:pPr>
        <w:ind w:left="1480" w:right="359" w:firstLine="333"/>
        <w:spacing w:after="0" w:line="349" w:lineRule="auto"/>
        <w:rPr>
          <w:sz w:val="20"/>
          <w:szCs w:val="20"/>
          <w:color w:val="auto"/>
        </w:rPr>
      </w:pPr>
      <w:r>
        <w:rPr>
          <w:rFonts w:ascii="Times New Roman" w:cs="Times New Roman" w:eastAsia="Times New Roman" w:hAnsi="Times New Roman"/>
          <w:sz w:val="12"/>
          <w:szCs w:val="12"/>
          <w:color w:val="auto"/>
        </w:rPr>
        <w:t>The Base Indenture does not limit the amount of debt securities that the Issuers may issue thereunder. To the extent permitted by the Indenture, the Issuers may issue debt securities under the Base Indenture up to an aggregate principal amount as they may authorize from time to time.</w:t>
      </w:r>
    </w:p>
    <w:p>
      <w:pPr>
        <w:spacing w:after="0" w:line="89" w:lineRule="exact"/>
        <w:rPr>
          <w:sz w:val="20"/>
          <w:szCs w:val="20"/>
          <w:color w:val="auto"/>
        </w:rPr>
      </w:pPr>
    </w:p>
    <w:p>
      <w:pPr>
        <w:ind w:left="1480" w:right="399" w:firstLine="333"/>
        <w:spacing w:after="0" w:line="250" w:lineRule="auto"/>
        <w:rPr>
          <w:sz w:val="20"/>
          <w:szCs w:val="20"/>
          <w:color w:val="auto"/>
        </w:rPr>
      </w:pPr>
      <w:r>
        <w:rPr>
          <w:rFonts w:ascii="Times New Roman" w:cs="Times New Roman" w:eastAsia="Times New Roman" w:hAnsi="Times New Roman"/>
          <w:sz w:val="14"/>
          <w:szCs w:val="14"/>
          <w:color w:val="auto"/>
        </w:rPr>
        <w:t>The following description is only a summary of certain provisions of the Indenture and the Notes, does not purport to be complete and is subject to, and is qualified in its entirety by reference to, all the provisions of the Indenture and the Notes, including the definitions therein of certain terms used below. We urge you to read each of these documents because they, not this description, define your rights as Holders. You may request copies of these agreements at the address of Parent set forth under the heading “Summary.”</w:t>
      </w:r>
    </w:p>
    <w:p>
      <w:pPr>
        <w:spacing w:after="0" w:line="146"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Certain terms used in this description are defined under the heading “Certain Definitions.” In this section of the prospectus supplement, references to the “</w:t>
      </w:r>
      <w:r>
        <w:rPr>
          <w:rFonts w:ascii="Times New Roman" w:cs="Times New Roman" w:eastAsia="Times New Roman" w:hAnsi="Times New Roman"/>
          <w:sz w:val="14"/>
          <w:szCs w:val="14"/>
          <w:i w:val="1"/>
          <w:iCs w:val="1"/>
          <w:color w:val="auto"/>
        </w:rPr>
        <w:t>Issuers</w:t>
      </w:r>
      <w:r>
        <w:rPr>
          <w:rFonts w:ascii="Times New Roman" w:cs="Times New Roman" w:eastAsia="Times New Roman" w:hAnsi="Times New Roman"/>
          <w:sz w:val="14"/>
          <w:szCs w:val="14"/>
          <w:color w:val="auto"/>
        </w:rPr>
        <w:t>” are to Dell International and EMC, the co-issuers of the Notes offered hereby, and not any of their Subsidiaries.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Brief Description of the Notes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Notes will be:</w:t>
      </w:r>
    </w:p>
    <w:p>
      <w:pPr>
        <w:spacing w:after="0" w:line="94" w:lineRule="exact"/>
        <w:rPr>
          <w:sz w:val="20"/>
          <w:szCs w:val="20"/>
          <w:color w:val="auto"/>
        </w:rPr>
      </w:pPr>
    </w:p>
    <w:p>
      <w:pPr>
        <w:ind w:left="2220" w:hanging="334"/>
        <w:spacing w:after="0"/>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unsecured obligations of the Issuers;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in right of payment to any future subordinated indebtedness of the Issuers;</w:t>
      </w:r>
    </w:p>
    <w:p>
      <w:pPr>
        <w:spacing w:after="0" w:line="92" w:lineRule="exact"/>
        <w:rPr>
          <w:rFonts w:ascii="Times New Roman" w:cs="Times New Roman" w:eastAsia="Times New Roman" w:hAnsi="Times New Roman"/>
          <w:sz w:val="14"/>
          <w:szCs w:val="14"/>
          <w:color w:val="auto"/>
        </w:rPr>
      </w:pPr>
    </w:p>
    <w:p>
      <w:pPr>
        <w:ind w:left="2220" w:right="559" w:hanging="334"/>
        <w:spacing w:after="0" w:line="267"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pari passu </w:t>
      </w:r>
      <w:r>
        <w:rPr>
          <w:rFonts w:ascii="Times New Roman" w:cs="Times New Roman" w:eastAsia="Times New Roman" w:hAnsi="Times New Roman"/>
          <w:sz w:val="14"/>
          <w:szCs w:val="14"/>
          <w:color w:val="auto"/>
        </w:rPr>
        <w:t>in right of payment with all existing and future senior indebtedness of the Issuers, including the new revolving credit facility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existing notes;</w:t>
      </w:r>
    </w:p>
    <w:p>
      <w:pPr>
        <w:spacing w:after="0" w:line="62" w:lineRule="exact"/>
        <w:rPr>
          <w:rFonts w:ascii="Times New Roman" w:cs="Times New Roman" w:eastAsia="Times New Roman" w:hAnsi="Times New Roman"/>
          <w:sz w:val="14"/>
          <w:szCs w:val="14"/>
          <w:color w:val="auto"/>
        </w:rPr>
      </w:pPr>
    </w:p>
    <w:p>
      <w:pPr>
        <w:ind w:left="2220" w:right="459" w:hanging="334"/>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senior to the Legacy Notes that are issued by Dell, a Parent Entity of the Issuers, and which are not guaranteed by the Issuers; and</w:t>
      </w:r>
    </w:p>
    <w:p>
      <w:pPr>
        <w:spacing w:after="0" w:line="64" w:lineRule="exact"/>
        <w:rPr>
          <w:rFonts w:ascii="Times New Roman" w:cs="Times New Roman" w:eastAsia="Times New Roman" w:hAnsi="Times New Roman"/>
          <w:sz w:val="14"/>
          <w:szCs w:val="14"/>
          <w:color w:val="auto"/>
        </w:rPr>
      </w:pPr>
    </w:p>
    <w:p>
      <w:pPr>
        <w:ind w:left="2220" w:right="439" w:hanging="334"/>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subordinated to all existing and future indebtedness and other liabilities of Subsidiaries of the Issuers, other than indebtedness and liabilities owed to one of the Issuers or Guarantors.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Guarantees</w:t>
      </w:r>
    </w:p>
    <w:p>
      <w:pPr>
        <w:spacing w:after="0" w:line="88" w:lineRule="exact"/>
        <w:rPr>
          <w:sz w:val="20"/>
          <w:szCs w:val="20"/>
          <w:color w:val="auto"/>
        </w:rPr>
      </w:pPr>
    </w:p>
    <w:p>
      <w:pPr>
        <w:ind w:left="1480" w:right="479" w:firstLine="333"/>
        <w:spacing w:after="0" w:line="254" w:lineRule="auto"/>
        <w:rPr>
          <w:sz w:val="20"/>
          <w:szCs w:val="20"/>
          <w:color w:val="auto"/>
        </w:rPr>
      </w:pPr>
      <w:r>
        <w:rPr>
          <w:rFonts w:ascii="Times New Roman" w:cs="Times New Roman" w:eastAsia="Times New Roman" w:hAnsi="Times New Roman"/>
          <w:sz w:val="14"/>
          <w:szCs w:val="14"/>
          <w:color w:val="auto"/>
        </w:rPr>
        <w:t>On the Issue Date, the Guarantors, as primary obligors and not merely as sureties, will jointly and severally irrevocably and unconditionally guarantee, on a senior unsecured basis, the performance and full and punctual payment when due, whether at maturity, by acceleration or otherwise, of all obligations of the Issuers under the</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7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79"/>
        <w:spacing w:after="0" w:line="264" w:lineRule="auto"/>
        <w:rPr>
          <w:sz w:val="20"/>
          <w:szCs w:val="20"/>
          <w:color w:val="auto"/>
        </w:rPr>
      </w:pPr>
      <w:r>
        <w:rPr>
          <w:rFonts w:ascii="Times New Roman" w:cs="Times New Roman" w:eastAsia="Times New Roman" w:hAnsi="Times New Roman"/>
          <w:sz w:val="14"/>
          <w:szCs w:val="14"/>
          <w:color w:val="auto"/>
        </w:rPr>
        <w:t>Notes and the Indenture, whether for payment of principal of, premium, if any, or interest on the Notes, expenses, indemnification or otherwise, on the terms set forth in the Indenture.</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Guarantors on the Issue Date will be Parent, Denali Intermediate and Dell. The Notes will not be guaranteed by any Subsidiaries of the</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Issuers. The Note Guarantee of each Guarantor will be:</w:t>
      </w:r>
    </w:p>
    <w:p>
      <w:pPr>
        <w:spacing w:after="0" w:line="82" w:lineRule="exact"/>
        <w:rPr>
          <w:sz w:val="20"/>
          <w:szCs w:val="20"/>
          <w:color w:val="auto"/>
        </w:rPr>
      </w:pPr>
    </w:p>
    <w:p>
      <w:pPr>
        <w:ind w:left="2220" w:hanging="334"/>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senior unsecured obligation of such Guarantor;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in right of payment to all existing and future subordinated indebtedness of such Guarantor;</w:t>
      </w:r>
    </w:p>
    <w:p>
      <w:pPr>
        <w:spacing w:after="0" w:line="92" w:lineRule="exact"/>
        <w:rPr>
          <w:rFonts w:ascii="Times New Roman" w:cs="Times New Roman" w:eastAsia="Times New Roman" w:hAnsi="Times New Roman"/>
          <w:sz w:val="14"/>
          <w:szCs w:val="14"/>
          <w:color w:val="auto"/>
        </w:rPr>
      </w:pPr>
    </w:p>
    <w:p>
      <w:pPr>
        <w:ind w:left="2220" w:right="459" w:hanging="334"/>
        <w:spacing w:after="0" w:line="267"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pari passu </w:t>
      </w:r>
      <w:r>
        <w:rPr>
          <w:rFonts w:ascii="Times New Roman" w:cs="Times New Roman" w:eastAsia="Times New Roman" w:hAnsi="Times New Roman"/>
          <w:sz w:val="14"/>
          <w:szCs w:val="14"/>
          <w:color w:val="auto"/>
        </w:rPr>
        <w:t>in right of payment with all existing and future senior indebtedness of such Guarantor, including guarantees of the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the new revolving credit facility and the existing notes;</w:t>
      </w:r>
    </w:p>
    <w:p>
      <w:pPr>
        <w:spacing w:after="0" w:line="62"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senior to the Legacy Notes; and</w:t>
      </w:r>
    </w:p>
    <w:p>
      <w:pPr>
        <w:spacing w:after="0" w:line="94" w:lineRule="exact"/>
        <w:rPr>
          <w:rFonts w:ascii="Times New Roman" w:cs="Times New Roman" w:eastAsia="Times New Roman" w:hAnsi="Times New Roman"/>
          <w:sz w:val="14"/>
          <w:szCs w:val="14"/>
          <w:color w:val="auto"/>
        </w:rPr>
      </w:pPr>
    </w:p>
    <w:p>
      <w:pPr>
        <w:ind w:left="2220" w:right="439" w:hanging="334"/>
        <w:spacing w:after="0" w:line="264"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subordinated to all existing and future indebtedness and other liabilities of Subsidiaries of the Issuers, other than indebtedness and liabilities owed to one of the Issuers or Guarantors.</w:t>
      </w:r>
    </w:p>
    <w:p>
      <w:pPr>
        <w:spacing w:after="0" w:line="2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Release of Note Guarantees</w:t>
      </w:r>
    </w:p>
    <w:p>
      <w:pPr>
        <w:spacing w:after="0" w:line="88" w:lineRule="exact"/>
        <w:rPr>
          <w:sz w:val="20"/>
          <w:szCs w:val="20"/>
          <w:color w:val="auto"/>
        </w:rPr>
      </w:pPr>
    </w:p>
    <w:p>
      <w:pPr>
        <w:ind w:left="1480" w:right="559" w:firstLine="333"/>
        <w:spacing w:after="0" w:line="250" w:lineRule="auto"/>
        <w:rPr>
          <w:sz w:val="20"/>
          <w:szCs w:val="20"/>
          <w:color w:val="auto"/>
        </w:rPr>
      </w:pPr>
      <w:r>
        <w:rPr>
          <w:rFonts w:ascii="Times New Roman" w:cs="Times New Roman" w:eastAsia="Times New Roman" w:hAnsi="Times New Roman"/>
          <w:sz w:val="14"/>
          <w:szCs w:val="14"/>
          <w:color w:val="auto"/>
        </w:rPr>
        <w:t>Each Note Guarantee of a series of Notes by a Guarantor shall provide by its terms that its Obligations under the Indenture with respect to such series and such Note Guarantee shall be automatically and unconditionally released and discharged upon the Issuers exercising the legal defeasance option or covenant defeasance option with respect to such series as described under “Legal Defeasance and Covenant Defeasance” or the Issuers’ obligations under the Indenture with respect to such series being discharged in accordance with the terms of the Indenture.</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Paying Agent and Registrar for the Notes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Issuers will maintain one or more paying agents for the Notes. The initial paying agent for the Notes will be the Trustee.</w:t>
      </w:r>
    </w:p>
    <w:p>
      <w:pPr>
        <w:spacing w:after="0" w:line="166"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The Issuers will also maintain a registrar. The initial registrar will be the Trustee. The registrar will maintain a register reflecting ownership of the Notes outstanding from time to time and will make payments on and facilitate transfer of Notes on behalf of the Issuers.</w:t>
      </w:r>
    </w:p>
    <w:p>
      <w:pPr>
        <w:spacing w:after="0" w:line="136" w:lineRule="exact"/>
        <w:rPr>
          <w:sz w:val="20"/>
          <w:szCs w:val="20"/>
          <w:color w:val="auto"/>
        </w:rPr>
      </w:pPr>
    </w:p>
    <w:p>
      <w:pPr>
        <w:ind w:left="1480" w:right="739" w:firstLine="333"/>
        <w:spacing w:after="0" w:line="264" w:lineRule="auto"/>
        <w:rPr>
          <w:sz w:val="20"/>
          <w:szCs w:val="20"/>
          <w:color w:val="auto"/>
        </w:rPr>
      </w:pPr>
      <w:r>
        <w:rPr>
          <w:rFonts w:ascii="Times New Roman" w:cs="Times New Roman" w:eastAsia="Times New Roman" w:hAnsi="Times New Roman"/>
          <w:sz w:val="14"/>
          <w:szCs w:val="14"/>
          <w:color w:val="auto"/>
        </w:rPr>
        <w:t>The Issuers may change the paying agents or the registrars without prior notice to the Holders. Parent or any of its Subsidiaries may act as a paying agent or registrar.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88" w:lineRule="exact"/>
        <w:rPr>
          <w:sz w:val="20"/>
          <w:szCs w:val="20"/>
          <w:color w:val="auto"/>
        </w:rPr>
      </w:pPr>
    </w:p>
    <w:p>
      <w:pPr>
        <w:ind w:left="1480" w:right="499" w:firstLine="333"/>
        <w:spacing w:after="0" w:line="248" w:lineRule="auto"/>
        <w:rPr>
          <w:sz w:val="20"/>
          <w:szCs w:val="20"/>
          <w:color w:val="auto"/>
        </w:rPr>
      </w:pPr>
      <w:r>
        <w:rPr>
          <w:rFonts w:ascii="Times New Roman" w:cs="Times New Roman" w:eastAsia="Times New Roman" w:hAnsi="Times New Roman"/>
          <w:sz w:val="14"/>
          <w:szCs w:val="14"/>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and fees required by law and due on transfer. The Issuers are not required to transfer or exchange any Note selected for redemption or tendered (and not withdrawn) for repurchase in connection with a Change of Control Offer, an Alternate Offer or other tender offer. Also, the Issuers are not required to transfer or exchange any Note for a period of 15 days before a selection of Notes to be redeemed.</w:t>
      </w:r>
    </w:p>
    <w:p>
      <w:pPr>
        <w:spacing w:after="0" w:line="14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registered Holder will be treated as the owner of the Note for all purposes.</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Principal and Maturity</w:t>
      </w:r>
    </w:p>
    <w:p>
      <w:pPr>
        <w:spacing w:after="0" w:line="88" w:lineRule="exact"/>
        <w:rPr>
          <w:sz w:val="20"/>
          <w:szCs w:val="20"/>
          <w:color w:val="auto"/>
        </w:rPr>
      </w:pPr>
    </w:p>
    <w:p>
      <w:pPr>
        <w:ind w:left="1480" w:right="519" w:firstLine="333"/>
        <w:spacing w:after="0" w:line="264" w:lineRule="auto"/>
        <w:rPr>
          <w:sz w:val="20"/>
          <w:szCs w:val="20"/>
          <w:color w:val="auto"/>
        </w:rPr>
      </w:pPr>
      <w:r>
        <w:rPr>
          <w:rFonts w:ascii="Times New Roman" w:cs="Times New Roman" w:eastAsia="Times New Roman" w:hAnsi="Times New Roman"/>
          <w:sz w:val="14"/>
          <w:szCs w:val="14"/>
          <w:color w:val="auto"/>
        </w:rPr>
        <w:t>The Issuers will issue the 2031 Notes initially with an aggregate principal amount of $1,000,000,000, the 2034 Notes initially with an aggregate principal amount of $750,000,000 and the 2037 Notes initially with an</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7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39"/>
        <w:spacing w:after="0" w:line="246" w:lineRule="auto"/>
        <w:rPr>
          <w:sz w:val="20"/>
          <w:szCs w:val="20"/>
          <w:color w:val="auto"/>
        </w:rPr>
      </w:pPr>
      <w:r>
        <w:rPr>
          <w:rFonts w:ascii="Times New Roman" w:cs="Times New Roman" w:eastAsia="Times New Roman" w:hAnsi="Times New Roman"/>
          <w:sz w:val="14"/>
          <w:szCs w:val="14"/>
          <w:color w:val="auto"/>
        </w:rPr>
        <w:t>aggregate principal amount of $1,250,000,000. The 2031 Notes will mature on July 15, 2031, the 2034 Notes will mature on February 15, 2034 and the 2037 Notes will mature on February 15, 2037. The Issuers may issue additional Notes of a series from time to time after this offering under the Indenture (“</w:t>
      </w:r>
      <w:r>
        <w:rPr>
          <w:rFonts w:ascii="Times New Roman" w:cs="Times New Roman" w:eastAsia="Times New Roman" w:hAnsi="Times New Roman"/>
          <w:sz w:val="14"/>
          <w:szCs w:val="14"/>
          <w:i w:val="1"/>
          <w:iCs w:val="1"/>
          <w:color w:val="auto"/>
        </w:rPr>
        <w:t>Additional Notes</w:t>
      </w:r>
      <w:r>
        <w:rPr>
          <w:rFonts w:ascii="Times New Roman" w:cs="Times New Roman" w:eastAsia="Times New Roman" w:hAnsi="Times New Roman"/>
          <w:sz w:val="14"/>
          <w:szCs w:val="14"/>
          <w:color w:val="auto"/>
        </w:rPr>
        <w:t xml:space="preserve">”). The Notes of a series offered hereby and any Additional Notes of such series subsequently issued under the Indenture will be treated as a single class for all purposes under the Indenture, including waivers, amendments, redemptions and offers to purchase;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any Additional Notes of a series are not fungible with the Notes of such series for U.S. federal income tax purposes, such Additional Notes of such series will have a separate CUSIP number and ISIN from the Notes of such series. Unless the context requires otherwise, references to “Notes” of a series for all purposes of the Indenture, the Note Guarantees and this “Description of Notes” include any Additional Notes of such series that are actually issued.</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88" w:lineRule="exact"/>
        <w:rPr>
          <w:sz w:val="20"/>
          <w:szCs w:val="20"/>
          <w:color w:val="auto"/>
        </w:rPr>
      </w:pPr>
    </w:p>
    <w:p>
      <w:pPr>
        <w:ind w:left="1480" w:right="439" w:firstLine="333"/>
        <w:spacing w:after="0" w:line="294" w:lineRule="auto"/>
        <w:rPr>
          <w:sz w:val="20"/>
          <w:szCs w:val="20"/>
          <w:color w:val="auto"/>
        </w:rPr>
      </w:pPr>
      <w:r>
        <w:rPr>
          <w:rFonts w:ascii="Times New Roman" w:cs="Times New Roman" w:eastAsia="Times New Roman" w:hAnsi="Times New Roman"/>
          <w:sz w:val="12"/>
          <w:szCs w:val="12"/>
          <w:color w:val="auto"/>
        </w:rPr>
        <w:t>Interest on the 2031 Notes will accrue at the rate of 4.750% per annum and will be payable in cash semi-annually in arrears on January 15 and July 15 of each year commencing on January 15, 2027, to the Holders of record as of the close of business (if applicable) on the immediately preceding January 1 and July 1 (whether or not a Business Day). Interest on the 2034 Notes will accrue at the rate of 5.000% per annum and will be payable in cash semi-annually in arrears on February 15 and August 15 of each year commencing on August 15, 2026, to the Holders of record as of the close of business (if applicable) on the immediately preceding February 1 and August 1 (whether or not a Business Day). Interest on the 2037 Notes will accrue at the rate of 5.250% per annum and will be payable in cash semi-annually in arrears on February 15 and August 15 of each year commencing on August 15, 2026, to the Holders of record as of the close of business (if applicable) on the immediately preceding February 1 and August 1 (whether or not a Business Day). Interest on the Notes will be computed on the basis of a 360-day year comprised of twelve 30-day months.</w:t>
      </w:r>
    </w:p>
    <w:p>
      <w:pPr>
        <w:spacing w:after="0" w:line="287" w:lineRule="exact"/>
        <w:rPr>
          <w:sz w:val="20"/>
          <w:szCs w:val="20"/>
          <w:color w:val="auto"/>
        </w:rPr>
      </w:pPr>
    </w:p>
    <w:p>
      <w:pPr>
        <w:ind w:left="1480" w:right="379" w:firstLine="333"/>
        <w:spacing w:after="0" w:line="295" w:lineRule="auto"/>
        <w:rPr>
          <w:sz w:val="20"/>
          <w:szCs w:val="20"/>
          <w:color w:val="auto"/>
        </w:rPr>
      </w:pPr>
      <w:r>
        <w:rPr>
          <w:rFonts w:ascii="Times New Roman" w:cs="Times New Roman" w:eastAsia="Times New Roman" w:hAnsi="Times New Roman"/>
          <w:sz w:val="12"/>
          <w:szCs w:val="12"/>
          <w:color w:val="auto"/>
        </w:rPr>
        <w:t xml:space="preserve">Principal of, premium, if any, and interest on the Notes will be payable at the office or agency of the Paying Agent maintained for such purpose as described under “Paying Agent and Registrar for the Notes” or, at the option of the Issuers, payment of interest may be made by check mailed to the Holders at their respective addresses set forth in the register of Holders;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all payments of principal, premium, if any, and interest with respect to the Notes represented by one or more global notes registered in the name of or held by DTC or its nominee will be made in accordance with DTC’s applicable procedures. Until otherwise designated by the Issuers, the Issuers’ office or agency will be the office of the Trustee maintained for such purpose. If any interest payment date, the maturity date or any earlier required repurchase or redemption date falls on a day that is a Legal Holiday, the required payment will be made on the next succeeding Business Day and no interest on such payment will accrue in respect of the delay.</w:t>
      </w:r>
    </w:p>
    <w:p>
      <w:pPr>
        <w:spacing w:after="0" w:line="120"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Each of the 2031 Notes, the 2034 Notes and the 2037 Notes will constitute a separate series of notes for purposes of the Indenture. The Notes will be issued in minimum denominations of $2,000 and any integral multiple of $1,000 in excess thereof.</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88" w:lineRule="exact"/>
        <w:rPr>
          <w:sz w:val="20"/>
          <w:szCs w:val="20"/>
          <w:color w:val="auto"/>
        </w:rPr>
      </w:pPr>
    </w:p>
    <w:p>
      <w:pPr>
        <w:ind w:left="1480" w:right="459" w:firstLine="333"/>
        <w:spacing w:after="0" w:line="247" w:lineRule="auto"/>
        <w:rPr>
          <w:sz w:val="20"/>
          <w:szCs w:val="20"/>
          <w:color w:val="auto"/>
        </w:rPr>
      </w:pPr>
      <w:r>
        <w:rPr>
          <w:rFonts w:ascii="Times New Roman" w:cs="Times New Roman" w:eastAsia="Times New Roman" w:hAnsi="Times New Roman"/>
          <w:sz w:val="14"/>
          <w:szCs w:val="14"/>
          <w:color w:val="auto"/>
        </w:rPr>
        <w:t>Prior to June 15, 2031, in the case of the 2031 Notes (one month prior to the maturity date of the 2031 Notes) (the “2031 Notes par call date”), December 15, 2033, in the case of the 2034 Notes (two months prior to the maturity date of the 2034 Notes) (the “2034 Notes par call date”), and November 15, 2036, in the case of the 2037 Notes (three months prior to the maturity date of the 2037 Notes) (the “2037 Notes par call date” and, together with the 2031 Notes par call date and the 2034 Notes par call date, each a “par call date”), the Issuers may redeem the Notes at their option, in whole or in part, at any time and from time to time, at a redemption price (expressed as a percentage of principal amount and rounded to three decimal places) equal to the greater of:</w:t>
      </w:r>
    </w:p>
    <w:p>
      <w:pPr>
        <w:spacing w:after="0" w:line="78" w:lineRule="exact"/>
        <w:rPr>
          <w:sz w:val="20"/>
          <w:szCs w:val="20"/>
          <w:color w:val="auto"/>
        </w:rPr>
      </w:pPr>
    </w:p>
    <w:p>
      <w:pPr>
        <w:ind w:left="2220" w:right="399" w:hanging="416"/>
        <w:spacing w:after="0" w:line="254" w:lineRule="auto"/>
        <w:tabs>
          <w:tab w:leader="none" w:pos="2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7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499"/>
        <w:spacing w:after="0" w:line="264" w:lineRule="auto"/>
        <w:rPr>
          <w:sz w:val="20"/>
          <w:szCs w:val="20"/>
          <w:color w:val="auto"/>
        </w:rPr>
      </w:pPr>
      <w:r>
        <w:rPr>
          <w:rFonts w:ascii="Times New Roman" w:cs="Times New Roman" w:eastAsia="Times New Roman" w:hAnsi="Times New Roman"/>
          <w:sz w:val="14"/>
          <w:szCs w:val="14"/>
          <w:color w:val="auto"/>
        </w:rPr>
        <w:t>plus 10 basis points (in the case of the 2031 Notes), 15 basis points (in the case of the 2034 Notes) and 15 basis points (in the case of the 2037 Notes) less (b) interest accrued to the date of redemption, and</w:t>
      </w:r>
    </w:p>
    <w:p>
      <w:pPr>
        <w:spacing w:after="0" w:line="65" w:lineRule="exact"/>
        <w:rPr>
          <w:sz w:val="20"/>
          <w:szCs w:val="20"/>
          <w:color w:val="auto"/>
        </w:rPr>
      </w:pPr>
    </w:p>
    <w:p>
      <w:pPr>
        <w:ind w:left="2220" w:hanging="416"/>
        <w:spacing w:after="0"/>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to be redeemed,</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but excluding, the redemption date.</w:t>
      </w:r>
    </w:p>
    <w:p>
      <w:pPr>
        <w:spacing w:after="0" w:line="166" w:lineRule="exact"/>
        <w:rPr>
          <w:sz w:val="20"/>
          <w:szCs w:val="20"/>
          <w:color w:val="auto"/>
        </w:rPr>
      </w:pPr>
    </w:p>
    <w:p>
      <w:pPr>
        <w:ind w:left="1480" w:right="479" w:firstLine="333"/>
        <w:spacing w:after="0" w:line="254" w:lineRule="auto"/>
        <w:rPr>
          <w:sz w:val="20"/>
          <w:szCs w:val="20"/>
          <w:color w:val="auto"/>
        </w:rPr>
      </w:pPr>
      <w:r>
        <w:rPr>
          <w:rFonts w:ascii="Times New Roman" w:cs="Times New Roman" w:eastAsia="Times New Roman" w:hAnsi="Times New Roman"/>
          <w:sz w:val="14"/>
          <w:szCs w:val="14"/>
          <w:color w:val="auto"/>
        </w:rPr>
        <w:t>On or after the applicable par call date, the Issuers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“Treasury Rate” means, with respect to any redemption date, the yield determined by the Issuers in accordance with the following two paragraphs.</w:t>
      </w:r>
    </w:p>
    <w:p>
      <w:pPr>
        <w:spacing w:after="0" w:line="189" w:lineRule="exact"/>
        <w:rPr>
          <w:sz w:val="20"/>
          <w:szCs w:val="20"/>
          <w:color w:val="auto"/>
        </w:rPr>
      </w:pPr>
    </w:p>
    <w:p>
      <w:pPr>
        <w:ind w:left="1480" w:right="379" w:firstLine="333"/>
        <w:spacing w:after="0" w:line="289" w:lineRule="auto"/>
        <w:rPr>
          <w:sz w:val="20"/>
          <w:szCs w:val="20"/>
          <w:color w:val="auto"/>
        </w:rPr>
      </w:pPr>
      <w:r>
        <w:rPr>
          <w:rFonts w:ascii="Times New Roman" w:cs="Times New Roman" w:eastAsia="Times New Roman" w:hAnsi="Times New Roman"/>
          <w:sz w:val="12"/>
          <w:szCs w:val="12"/>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Issuers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94" w:lineRule="exact"/>
        <w:rPr>
          <w:sz w:val="20"/>
          <w:szCs w:val="20"/>
          <w:color w:val="auto"/>
        </w:rPr>
      </w:pPr>
    </w:p>
    <w:p>
      <w:pPr>
        <w:ind w:left="1480" w:right="439" w:firstLine="333"/>
        <w:spacing w:after="0" w:line="290" w:lineRule="auto"/>
        <w:rPr>
          <w:sz w:val="20"/>
          <w:szCs w:val="20"/>
          <w:color w:val="auto"/>
        </w:rPr>
      </w:pPr>
      <w:r>
        <w:rPr>
          <w:rFonts w:ascii="Times New Roman" w:cs="Times New Roman" w:eastAsia="Times New Roman" w:hAnsi="Times New Roman"/>
          <w:sz w:val="12"/>
          <w:szCs w:val="12"/>
          <w:color w:val="auto"/>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Issuers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90" w:lineRule="exact"/>
        <w:rPr>
          <w:sz w:val="20"/>
          <w:szCs w:val="20"/>
          <w:color w:val="auto"/>
        </w:rPr>
      </w:pPr>
    </w:p>
    <w:p>
      <w:pPr>
        <w:ind w:left="1480" w:right="639" w:firstLine="333"/>
        <w:spacing w:after="0" w:line="264" w:lineRule="auto"/>
        <w:rPr>
          <w:sz w:val="20"/>
          <w:szCs w:val="20"/>
          <w:color w:val="auto"/>
        </w:rPr>
      </w:pPr>
      <w:r>
        <w:rPr>
          <w:rFonts w:ascii="Times New Roman" w:cs="Times New Roman" w:eastAsia="Times New Roman" w:hAnsi="Times New Roman"/>
          <w:sz w:val="14"/>
          <w:szCs w:val="14"/>
          <w:color w:val="auto"/>
        </w:rPr>
        <w:t>The Issuers’ actions and determinations in determining the redemption price shall be conclusive and binding for all purposes, absent manifest error. The Trustee shall have no obligation to determine the redemption price or to verify the calculation of the redemption price.</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7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Mandatory Redemption; Offers to Purchase; Open Market Purchases</w:t>
      </w:r>
    </w:p>
    <w:p>
      <w:pPr>
        <w:spacing w:after="0" w:line="88"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The Issuers are not required to make any mandatory redemption or sinking fund payments with respect to the Notes. In addition, other than as required under “Change of Control Triggering Event,” the Issuers will not be required to offer to repurchase or redeem or otherwise modify the terms of any of the Notes upon a change in control of, or other events involving, Parent or any of its Subsidiaries which may adversely affect the creditworthiness of the Notes. The Issuers and their Affiliates may at any time and from time to time acquire the Notes by means other than a redemption, whether pursuant to a tender offer, purchases in the open market, in privately negotiated transactions or otherwise.</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Change of Control Triggering Event</w:t>
      </w:r>
    </w:p>
    <w:p>
      <w:pPr>
        <w:spacing w:after="0" w:line="88"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The Notes will provide that if a Change of Control Triggering Event occurs with respect to a series of Notes, unless, prior to or concurrently with the time the Issuers are required to make a Change of Control Offer, the Issuers have mailed or delivered, or otherwise sent through electronic transmission, a redemption notice with respect to all the outstanding Notes of such series as described under “Optional Redemption” or “Satisfaction and Discharge,” the Issuers will make an offer to purchase all of the Notes of such series pursuant to the offer described below (the “</w:t>
      </w:r>
      <w:r>
        <w:rPr>
          <w:rFonts w:ascii="Times New Roman" w:cs="Times New Roman" w:eastAsia="Times New Roman" w:hAnsi="Times New Roman"/>
          <w:sz w:val="14"/>
          <w:szCs w:val="14"/>
          <w:i w:val="1"/>
          <w:iCs w:val="1"/>
          <w:color w:val="auto"/>
        </w:rPr>
        <w:t>Change of Control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Offer</w:t>
      </w:r>
      <w:r>
        <w:rPr>
          <w:rFonts w:ascii="Times New Roman" w:cs="Times New Roman" w:eastAsia="Times New Roman" w:hAnsi="Times New Roman"/>
          <w:sz w:val="14"/>
          <w:szCs w:val="14"/>
          <w:color w:val="auto"/>
        </w:rPr>
        <w:t>”) at a price in cash equal to 101% of the aggregate principal amount thereof (or such higher amount as the Issuers may determine (any Change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 Offer at a higher amount, an “</w:t>
      </w:r>
      <w:r>
        <w:rPr>
          <w:rFonts w:ascii="Times New Roman" w:cs="Times New Roman" w:eastAsia="Times New Roman" w:hAnsi="Times New Roman"/>
          <w:sz w:val="14"/>
          <w:szCs w:val="14"/>
          <w:i w:val="1"/>
          <w:iCs w:val="1"/>
          <w:color w:val="auto"/>
        </w:rPr>
        <w:t>Alternate Offer</w:t>
      </w:r>
      <w:r>
        <w:rPr>
          <w:rFonts w:ascii="Times New Roman" w:cs="Times New Roman" w:eastAsia="Times New Roman" w:hAnsi="Times New Roman"/>
          <w:sz w:val="14"/>
          <w:szCs w:val="14"/>
          <w:color w:val="auto"/>
        </w:rPr>
        <w:t>”)) (such price, the “</w:t>
      </w:r>
      <w:r>
        <w:rPr>
          <w:rFonts w:ascii="Times New Roman" w:cs="Times New Roman" w:eastAsia="Times New Roman" w:hAnsi="Times New Roman"/>
          <w:sz w:val="14"/>
          <w:szCs w:val="14"/>
          <w:i w:val="1"/>
          <w:iCs w:val="1"/>
          <w:color w:val="auto"/>
        </w:rPr>
        <w:t>Change of Control Payment</w:t>
      </w:r>
      <w:r>
        <w:rPr>
          <w:rFonts w:ascii="Times New Roman" w:cs="Times New Roman" w:eastAsia="Times New Roman" w:hAnsi="Times New Roman"/>
          <w:sz w:val="14"/>
          <w:szCs w:val="14"/>
          <w:color w:val="auto"/>
        </w:rPr>
        <w:t>”) plus accrued and unpaid interest, if any, to, but excluding the date of purchase, subject to the right of Holders of record on the relevant record date to receive interest due on the relevant interest payment date. Within 30 days following any Change of Control Triggering Event with respect to a series of Notes, the Issuers will send notice of such Change of Control Offer by first-class mail, with a copy to the Trustee, to each Holder of Notes of such series to the address of such Holder appearing in the security register or otherwise in accordance with the procedures of DTC, with the following information:</w:t>
      </w:r>
    </w:p>
    <w:p>
      <w:pPr>
        <w:spacing w:after="0" w:line="82" w:lineRule="exact"/>
        <w:rPr>
          <w:sz w:val="20"/>
          <w:szCs w:val="20"/>
          <w:color w:val="auto"/>
        </w:rPr>
      </w:pPr>
    </w:p>
    <w:p>
      <w:pPr>
        <w:ind w:left="2220" w:right="379" w:hanging="416"/>
        <w:spacing w:after="0" w:line="264" w:lineRule="auto"/>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 Change of Control Offer is being made pursuant to the covenant entitled “Change of Control Triggering Event,” and that all Notes of such series properly tendered pursuant to such Change of Control Offer will be accepted for payment by the Issuers;</w:t>
      </w:r>
    </w:p>
    <w:p>
      <w:pPr>
        <w:spacing w:after="0" w:line="64" w:lineRule="exact"/>
        <w:rPr>
          <w:rFonts w:ascii="Times New Roman" w:cs="Times New Roman" w:eastAsia="Times New Roman" w:hAnsi="Times New Roman"/>
          <w:sz w:val="14"/>
          <w:szCs w:val="14"/>
          <w:color w:val="auto"/>
        </w:rPr>
      </w:pPr>
    </w:p>
    <w:p>
      <w:pPr>
        <w:ind w:left="2220" w:right="359" w:hanging="416"/>
        <w:spacing w:after="0" w:line="291" w:lineRule="auto"/>
        <w:tabs>
          <w:tab w:leader="none" w:pos="22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price and the purchase date, which will be no earlier than 20 Business Days and no later than 60 days from the date such notice is sent (the “C</w:t>
      </w:r>
      <w:r>
        <w:rPr>
          <w:rFonts w:ascii="Times New Roman" w:cs="Times New Roman" w:eastAsia="Times New Roman" w:hAnsi="Times New Roman"/>
          <w:sz w:val="12"/>
          <w:szCs w:val="12"/>
          <w:i w:val="1"/>
          <w:iCs w:val="1"/>
          <w:color w:val="auto"/>
        </w:rPr>
        <w:t>hange of Control Payment Date</w:t>
      </w:r>
      <w:r>
        <w:rPr>
          <w:rFonts w:ascii="Times New Roman" w:cs="Times New Roman" w:eastAsia="Times New Roman" w:hAnsi="Times New Roman"/>
          <w:sz w:val="12"/>
          <w:szCs w:val="12"/>
          <w:color w:val="auto"/>
        </w:rPr>
        <w:t>”); provided, that the Change of Control Payment Date may be delayed, in the Issuers’ discretion, until such time (including more than 60 days after the date such notice is sent) as any or all such conditions referred to in clause</w:t>
      </w:r>
    </w:p>
    <w:p>
      <w:pPr>
        <w:ind w:left="22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(7) below shall be satisfied or waived;</w:t>
      </w:r>
    </w:p>
    <w:p>
      <w:pPr>
        <w:spacing w:after="0" w:line="82" w:lineRule="exact"/>
        <w:rPr>
          <w:rFonts w:ascii="Times New Roman" w:cs="Times New Roman" w:eastAsia="Times New Roman" w:hAnsi="Times New Roman"/>
          <w:sz w:val="12"/>
          <w:szCs w:val="12"/>
          <w:color w:val="auto"/>
        </w:rPr>
      </w:pPr>
    </w:p>
    <w:p>
      <w:pPr>
        <w:ind w:left="2220" w:hanging="416"/>
        <w:spacing w:after="0"/>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any Note of such series not properly tendered will remain outstanding and continue to accrue interest;</w:t>
      </w:r>
    </w:p>
    <w:p>
      <w:pPr>
        <w:spacing w:after="0" w:line="94" w:lineRule="exact"/>
        <w:rPr>
          <w:rFonts w:ascii="Times New Roman" w:cs="Times New Roman" w:eastAsia="Times New Roman" w:hAnsi="Times New Roman"/>
          <w:sz w:val="14"/>
          <w:szCs w:val="14"/>
          <w:color w:val="auto"/>
        </w:rPr>
      </w:pPr>
    </w:p>
    <w:p>
      <w:pPr>
        <w:ind w:left="2220" w:right="399" w:hanging="416"/>
        <w:spacing w:after="0" w:line="254" w:lineRule="auto"/>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unless the Issuers default in the payment of the Change of Control Payment plus accrued and unpaid interest on all properly tendered Notes of such series, all Notes of such series accepted for payment pursuant to the Change of Control Offer will cease to accrue interest on the Change of Control Payment Date;</w:t>
      </w:r>
    </w:p>
    <w:p>
      <w:pPr>
        <w:spacing w:after="0" w:line="70" w:lineRule="exact"/>
        <w:rPr>
          <w:rFonts w:ascii="Times New Roman" w:cs="Times New Roman" w:eastAsia="Times New Roman" w:hAnsi="Times New Roman"/>
          <w:sz w:val="14"/>
          <w:szCs w:val="14"/>
          <w:color w:val="auto"/>
        </w:rPr>
      </w:pPr>
    </w:p>
    <w:p>
      <w:pPr>
        <w:jc w:val="both"/>
        <w:ind w:left="2220" w:right="459" w:hanging="416"/>
        <w:spacing w:after="0" w:line="250" w:lineRule="auto"/>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Holders electing to have any Notes of such series purchased pursuant to a Change of Control Offer will be required to surrender such Notes of such series, with the form entitled “Option of Holder to Elect Purchase” on the reverse of such Notes completed or otherwise in accordance with the procedures of DTC, to the paying agent specified in the notice at the address specified in the notice prior to the close of business on the third Business Day preceding the Change of Control Payment Date;</w:t>
      </w:r>
    </w:p>
    <w:p>
      <w:pPr>
        <w:spacing w:after="0" w:line="74" w:lineRule="exact"/>
        <w:rPr>
          <w:rFonts w:ascii="Times New Roman" w:cs="Times New Roman" w:eastAsia="Times New Roman" w:hAnsi="Times New Roman"/>
          <w:sz w:val="14"/>
          <w:szCs w:val="14"/>
          <w:color w:val="auto"/>
        </w:rPr>
      </w:pPr>
    </w:p>
    <w:p>
      <w:pPr>
        <w:jc w:val="both"/>
        <w:ind w:left="2220" w:right="359" w:hanging="416"/>
        <w:spacing w:after="0" w:line="316" w:lineRule="auto"/>
        <w:tabs>
          <w:tab w:leader="none" w:pos="22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if less than all of such Holder’s Notes of such series are tendered for purchase, such Holder will be issued new Notes of such series (or, in the case of global notes, such Notes shall be reduced by such amount of Notes of such series that the Holder has tendered) and such new Notes will be equal in aggregate principal amount to the unpurchased portion of the Notes of such series surrendered (the</w:t>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7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unpurchased portion of the Notes of such series must be equal to $2,000 or an integral multiple of $1,000 in excess thereof);</w:t>
      </w:r>
    </w:p>
    <w:p>
      <w:pPr>
        <w:spacing w:after="0" w:line="94" w:lineRule="exact"/>
        <w:rPr>
          <w:sz w:val="20"/>
          <w:szCs w:val="20"/>
          <w:color w:val="auto"/>
        </w:rPr>
      </w:pPr>
    </w:p>
    <w:p>
      <w:pPr>
        <w:ind w:left="2220" w:right="439" w:hanging="416"/>
        <w:spacing w:after="0" w:line="247"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notice is sent prior to the occurrence of a Change of Control Triggering Event, stating that the Change of Control Offer is conditional on the occurrence of such Change of Control Triggering Event or such other conditions specified therein and describing each such condition, and, if applicable, stating that, in the Issuers’ discretion, the Change of Control Payment Date may be delayed until such time as any or all such conditions shall be satisfied or waived (including more than 60 days after the notice is mailed or delivered), or that such purchase may not occur and such notice may be rescinded in the event that the Issuers reasonably believe that any or all such conditions (including the occurrence of the Change of Control Triggering Event) will not be satisfied or waived by the Change of Control Payment Date, or by the Change of Control Payment Date as so delayed; and</w:t>
      </w:r>
    </w:p>
    <w:p>
      <w:pPr>
        <w:spacing w:after="0" w:line="75"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instructions, as determined by the Issuers, consistent with this covenant, that a Holder must follow.</w:t>
      </w:r>
    </w:p>
    <w:p>
      <w:pPr>
        <w:spacing w:after="0" w:line="166"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While the Notes of a series are in global form and the Issuers make an offer to purchase all of the Notes of such series pursuant to the Change of Control Offer, a Holder of such series of Notes may exercise its option to elect for the purchase of the Notes of such series through the facilities of DTC, subject to its rules and regulations.</w:t>
      </w:r>
    </w:p>
    <w:p>
      <w:pPr>
        <w:spacing w:after="0" w:line="142" w:lineRule="exact"/>
        <w:rPr>
          <w:sz w:val="20"/>
          <w:szCs w:val="20"/>
          <w:color w:val="auto"/>
        </w:rPr>
      </w:pPr>
    </w:p>
    <w:p>
      <w:pPr>
        <w:ind w:left="1480" w:right="459" w:firstLine="333"/>
        <w:spacing w:after="0" w:line="305" w:lineRule="auto"/>
        <w:rPr>
          <w:sz w:val="20"/>
          <w:szCs w:val="20"/>
          <w:color w:val="auto"/>
        </w:rPr>
      </w:pPr>
      <w:r>
        <w:rPr>
          <w:rFonts w:ascii="Times New Roman" w:cs="Times New Roman" w:eastAsia="Times New Roman" w:hAnsi="Times New Roman"/>
          <w:sz w:val="12"/>
          <w:szCs w:val="12"/>
          <w:color w:val="auto"/>
        </w:rPr>
        <w:t>The Issuers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the Indenture, the Issuers will comply with the applicable securities laws and regulations and shall not be deemed to have breached its obligations described in the Indenture by virtue thereof.</w:t>
      </w:r>
    </w:p>
    <w:p>
      <w:pPr>
        <w:spacing w:after="0" w:line="11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On the Change of Control Payment Date, the Issuers will, to the extent permitted by law,</w:t>
      </w:r>
    </w:p>
    <w:p>
      <w:pPr>
        <w:spacing w:after="0" w:line="94" w:lineRule="exact"/>
        <w:rPr>
          <w:sz w:val="20"/>
          <w:szCs w:val="20"/>
          <w:color w:val="auto"/>
        </w:rPr>
      </w:pPr>
    </w:p>
    <w:p>
      <w:pPr>
        <w:ind w:left="2220" w:hanging="416"/>
        <w:spacing w:after="0"/>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issued by them or portions thereof properly tendered pursuant to the Change of Control Offer,</w:t>
      </w:r>
    </w:p>
    <w:p>
      <w:pPr>
        <w:spacing w:after="0" w:line="94" w:lineRule="exact"/>
        <w:rPr>
          <w:rFonts w:ascii="Times New Roman" w:cs="Times New Roman" w:eastAsia="Times New Roman" w:hAnsi="Times New Roman"/>
          <w:sz w:val="14"/>
          <w:szCs w:val="14"/>
          <w:color w:val="auto"/>
        </w:rPr>
      </w:pPr>
    </w:p>
    <w:p>
      <w:pPr>
        <w:ind w:left="2220" w:right="519" w:hanging="416"/>
        <w:spacing w:after="0" w:line="264"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aggregate Change of Control Payment in respect of all Notes or portions thereof so tendered, plus accrued and unpaid interest thereon, and</w:t>
      </w:r>
    </w:p>
    <w:p>
      <w:pPr>
        <w:spacing w:after="0" w:line="64" w:lineRule="exact"/>
        <w:rPr>
          <w:rFonts w:ascii="Times New Roman" w:cs="Times New Roman" w:eastAsia="Times New Roman" w:hAnsi="Times New Roman"/>
          <w:sz w:val="14"/>
          <w:szCs w:val="14"/>
          <w:color w:val="auto"/>
        </w:rPr>
      </w:pPr>
    </w:p>
    <w:p>
      <w:pPr>
        <w:ind w:left="2220" w:right="479" w:hanging="416"/>
        <w:spacing w:after="0" w:line="264"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for cancellation the Notes so accepted together with an Officer’s Certificate to the Trustee stating that such Notes or portions thereof have been tendered to and purchased by the Issuers.</w:t>
      </w:r>
    </w:p>
    <w:p>
      <w:pPr>
        <w:spacing w:after="0" w:line="136" w:lineRule="exact"/>
        <w:rPr>
          <w:sz w:val="20"/>
          <w:szCs w:val="20"/>
          <w:color w:val="auto"/>
        </w:rPr>
      </w:pPr>
    </w:p>
    <w:p>
      <w:pPr>
        <w:ind w:left="1480" w:right="419" w:firstLine="333"/>
        <w:spacing w:after="0" w:line="297" w:lineRule="auto"/>
        <w:rPr>
          <w:sz w:val="20"/>
          <w:szCs w:val="20"/>
          <w:color w:val="auto"/>
        </w:rPr>
      </w:pPr>
      <w:r>
        <w:rPr>
          <w:rFonts w:ascii="Times New Roman" w:cs="Times New Roman" w:eastAsia="Times New Roman" w:hAnsi="Times New Roman"/>
          <w:sz w:val="12"/>
          <w:szCs w:val="12"/>
          <w:color w:val="auto"/>
        </w:rPr>
        <w:t>The new revolving credit facility provides, and any future credit agreements or other agreements relating to indebtedness to which the Issuers (or any of their Affiliates) become parties may provide, that certain change of control events with respect to Parent would constitute an event of default thereunder. If Parent experiences a change of control that triggers an event of default under the new revolving credit facility and/or any indebtedness governed by such other agreements, we could seek a waiver of such event of default or seek to refinance the new revolving credit facility and/or such other agreements. In the event we do not obtain such a waiver or refinance the new revolving credit facility and/or such other agreements, such event of default could result in amounts outstanding under the new revolving credit facility and/or such other agreements being declared due and payable.</w:t>
      </w:r>
    </w:p>
    <w:p>
      <w:pPr>
        <w:spacing w:after="0" w:line="119" w:lineRule="exact"/>
        <w:rPr>
          <w:sz w:val="20"/>
          <w:szCs w:val="20"/>
          <w:color w:val="auto"/>
        </w:rPr>
      </w:pPr>
    </w:p>
    <w:p>
      <w:pPr>
        <w:jc w:val="both"/>
        <w:ind w:left="1480" w:right="519" w:firstLine="333"/>
        <w:spacing w:after="0" w:line="250" w:lineRule="auto"/>
        <w:rPr>
          <w:sz w:val="20"/>
          <w:szCs w:val="20"/>
          <w:color w:val="auto"/>
        </w:rPr>
      </w:pPr>
      <w:r>
        <w:rPr>
          <w:rFonts w:ascii="Times New Roman" w:cs="Times New Roman" w:eastAsia="Times New Roman" w:hAnsi="Times New Roman"/>
          <w:sz w:val="14"/>
          <w:szCs w:val="14"/>
          <w:color w:val="auto"/>
        </w:rPr>
        <w:t>Our ability to pay cash to the Holders of Notes following the occurrence of a Change of Control Triggering Event may be limited by our then-existing financial resources. Therefore, sufficient funds may not be available when necessary to make any required repurchases.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Risks Related to the Notes and the Offering—We may not be able to finance a change of control offer as required by the Indenture that will govern the notes offered hereby</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7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The Change of Control Triggering Event purchase feature of the Notes may in certain circumstances make it more difficult or discourage a sale or takeover of Parent, and, thus, the removal of incumbent management. The Change of Control Triggering Event purchase feature is a result of negotiations between the underwriters and us. We have no present intention to engage in a transaction involving a Change of Control, although it is possible that we could decide to do so in the future. Subject to the limitations discussed below, we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our capital structure or credit ratings.</w:t>
      </w:r>
    </w:p>
    <w:p>
      <w:pPr>
        <w:spacing w:after="0" w:line="150"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The Issuers will not be required to make a Change of Control Offer if a third party makes the Change of Control Offer (including, for the avoidance of doubt, an Alternate Offer) in the manner, at the times and otherwise in compliance with the requirements set forth in the Indenture applicable to a Change of Control Offer made by the Issuers and purchases all Notes validly tendered and not withdrawn under such Change of Control Offer. Notwithstanding anything to the contrary herein, a Change of Control Offer (including, for the avoidance of doubt, an Alternate Offer) may be made in advance of a Change of Control Triggering Event, conditional upon such Change of Control Triggering Event or such other conditions specified therein, if a definitive agreement is in place for the Change of Control at the time of making of the Change of Control Offer.</w:t>
      </w:r>
    </w:p>
    <w:p>
      <w:pPr>
        <w:spacing w:after="0" w:line="150"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With respect to the Notes of any series, if Holders of not less than 90% in aggregate principal amount of the outstanding Notes of such series validly tender and do not withdraw such Notes in a Change of Control Offer and the Issuers, or any third party making a Change of Control Offer in lieu of the Issuers as described above, purchases all of the Notes validly tendered and not withdrawn by such Holders, the Issuers or such third party will have the right, upon not less than 10 nor more than 60 days’ prior notice, given not more than 30 days following such purchase pursuant to the Change of Control Offer described above, to redeem all Notes of such series that remain outstanding following such purchase on a date (the “</w:t>
      </w:r>
      <w:r>
        <w:rPr>
          <w:rFonts w:ascii="Times New Roman" w:cs="Times New Roman" w:eastAsia="Times New Roman" w:hAnsi="Times New Roman"/>
          <w:sz w:val="14"/>
          <w:szCs w:val="14"/>
          <w:i w:val="1"/>
          <w:iCs w:val="1"/>
          <w:color w:val="auto"/>
        </w:rPr>
        <w:t>Second Change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Control Payment Date</w:t>
      </w:r>
      <w:r>
        <w:rPr>
          <w:rFonts w:ascii="Times New Roman" w:cs="Times New Roman" w:eastAsia="Times New Roman" w:hAnsi="Times New Roman"/>
          <w:sz w:val="14"/>
          <w:szCs w:val="14"/>
          <w:color w:val="auto"/>
        </w:rPr>
        <w:t>”) at a price in cash equal to the Change of Control Payment (excluding any early tender premium or similar premium and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accrued and unpaid interest paid to any Holder pursuant to such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Notes of such series on the relevant record date to receive interest due on the relevant interest payment date falling on or prior to the Second Change of Control Payment Date.</w:t>
      </w:r>
    </w:p>
    <w:p>
      <w:pPr>
        <w:spacing w:after="0" w:line="152"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The definition of “</w:t>
      </w:r>
      <w:r>
        <w:rPr>
          <w:rFonts w:ascii="Times New Roman" w:cs="Times New Roman" w:eastAsia="Times New Roman" w:hAnsi="Times New Roman"/>
          <w:sz w:val="14"/>
          <w:szCs w:val="14"/>
          <w:i w:val="1"/>
          <w:iCs w:val="1"/>
          <w:color w:val="auto"/>
        </w:rPr>
        <w:t>Change of Control</w:t>
      </w:r>
      <w:r>
        <w:rPr>
          <w:rFonts w:ascii="Times New Roman" w:cs="Times New Roman" w:eastAsia="Times New Roman" w:hAnsi="Times New Roman"/>
          <w:sz w:val="14"/>
          <w:szCs w:val="14"/>
          <w:color w:val="auto"/>
        </w:rPr>
        <w:t>” includes a disposition of all or substantially all of the assets of Parent and its Subsidiaries, taken as a whole, to any Person other than any Permitted Holders. 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 disposition of “all or substantially all” of the assets of Parent and its Subsidiaries, taken as a whole. As a result, it may be unclear as to whether a Change of Control has occurred and whether a Holder of Notes may require the Issuers to make an offer to repurchase the Notes as described above. See “</w:t>
      </w:r>
      <w:r>
        <w:rPr>
          <w:rFonts w:ascii="Times New Roman" w:cs="Times New Roman" w:eastAsia="Times New Roman" w:hAnsi="Times New Roman"/>
          <w:sz w:val="14"/>
          <w:szCs w:val="14"/>
          <w:i w:val="1"/>
          <w:iCs w:val="1"/>
          <w:color w:val="auto"/>
        </w:rPr>
        <w:t>Risk Factors—Risks Related to the Notes and the Offering—Holders of the notes may not be able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determine when a change of control giving rise to their right to have the notes repurchased has occurred following a sale of “substantially all” of our assets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The provisions of the Indenture relating to the Issuers’ obligation to make a Change of Control Offer with respect to the Notes of any series upon a Change of Control Triggering Event may be waived or modified at any time with the written consent of the Holders of a majority in aggregate principal amount of the Notes of such series then outstanding. A Change of Control Offer (including, for the avoidance of doubt, an Alternate Offer) may be made at the same time as consents are solicited with respect to an amendment, supplement or waiver of the Indenture, the Notes and/or the Note Guarantees so long as the tender of Notes by a Holder is not conditioned upon the delivery of consents by such Holder. In addition, the Issuers or any third party approved in writing by the Issuers that is making the Change of Control Offer (including, for the avoidance of doubt, an Alternate Offer)</w:t>
      </w:r>
    </w:p>
    <w:p>
      <w:pPr>
        <w:spacing w:after="0" w:line="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7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359"/>
        <w:spacing w:after="0" w:line="254" w:lineRule="auto"/>
        <w:rPr>
          <w:sz w:val="20"/>
          <w:szCs w:val="20"/>
          <w:color w:val="auto"/>
        </w:rPr>
      </w:pPr>
      <w:r>
        <w:rPr>
          <w:rFonts w:ascii="Times New Roman" w:cs="Times New Roman" w:eastAsia="Times New Roman" w:hAnsi="Times New Roman"/>
          <w:sz w:val="14"/>
          <w:szCs w:val="14"/>
          <w:color w:val="auto"/>
        </w:rPr>
        <w:t>may increase or decrease the Change of Control Payment (or decline to pay any early tender or similar premium) being offered to Holders at any time in its sole discretion, so long as the Change of Control Payment is at least equal to 101% of the aggregate principal amount of the Notes being repurchased, plus accrued and unpaid interest thereon.</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Selection and Notice</w:t>
      </w:r>
    </w:p>
    <w:p>
      <w:pPr>
        <w:spacing w:after="0" w:line="88"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 xml:space="preserve">In the case of a partial redemption or purchase, selection of the Notes of a series for redemption or purchase will be made by lot. No Notes of a principal amount of $2,000 or less will be redeemed or purchased in part. If any Note of a series is to be redeemed or purchased in part only, the notice of redemption or purchase that relates to the Note will state the portion of the principal amount of the Note to be redeemed or purchased. A new Note of such series in a principal amount equal to the unredeemed or unpurchased portion of the Note will be issued in the name of the Holder of the Note upon surrender for cancellation of the original Note;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new Note will be only issued in denominations of $2,000 and any integral multiple of $1,000 in excess thereof. For so long as the Notes are held by DTC (or another depositary), the redemption or purchase of the Notes shall be done in accordance with the policies and procedures of the depositary.</w:t>
      </w:r>
    </w:p>
    <w:p>
      <w:pPr>
        <w:spacing w:after="0" w:line="147"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Notices of redemption or offer to purchase shall be delivered electronically or mailed by first-class mail, postage prepaid, at least 10 days, but except as set forth in the immediately succeeding paragraph, not more than 60 days before the redemption date or purchase date to each Holder at such Holder’s registered address or otherwise in accordance with the procedures of DTC, except that notices of redemption may be delivered or mailed more than 60 days prior to a redemption date if the notice is issued in connection with a defeasance of any series of Notes or a satisfaction and discharge of the Indenture with respect to any series of Notes.</w:t>
      </w:r>
    </w:p>
    <w:p>
      <w:pPr>
        <w:spacing w:after="0" w:line="149" w:lineRule="exact"/>
        <w:rPr>
          <w:sz w:val="20"/>
          <w:szCs w:val="20"/>
          <w:color w:val="auto"/>
        </w:rPr>
      </w:pPr>
    </w:p>
    <w:p>
      <w:pPr>
        <w:ind w:left="1480" w:right="359" w:firstLine="333"/>
        <w:spacing w:after="0" w:line="291" w:lineRule="auto"/>
        <w:rPr>
          <w:sz w:val="20"/>
          <w:szCs w:val="20"/>
          <w:color w:val="auto"/>
        </w:rPr>
      </w:pPr>
      <w:r>
        <w:rPr>
          <w:rFonts w:ascii="Times New Roman" w:cs="Times New Roman" w:eastAsia="Times New Roman" w:hAnsi="Times New Roman"/>
          <w:sz w:val="12"/>
          <w:szCs w:val="12"/>
          <w:color w:val="auto"/>
        </w:rPr>
        <w:t>Notice of any redemption of, or any offer to purchase, the Notes may, at the Issuers’ discretion, be given in connection with another transaction (or series of related transactions) and prior to the completion or the occurrence thereof, and any such redemption or purchase may, at the Issuers’ discretion, be subject to one or more conditions precedent, including, but not limited to, completion or occurrence of the related transaction or event, as the case may be. In addition, if such redemption or purchase is subject to satisfaction of one or more conditions precedent, such notice shall describe each such condition, and if applicable, shall state that, in the Issuers’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by the redemption date or purchase date or by the redemption date or purchase date as so delayed, or such notice may be rescinded at any time in the Issuers’ discretion if the Issuers reasonably believe that any or all of such conditions will not be satisfied. In addition, the Issuers may provide in such notice or offer that payment of the redemption or purchase price and performance of the Issuers’ obligations with respect to such redemption or offer to purchase may be performed by another Person.</w:t>
      </w:r>
    </w:p>
    <w:p>
      <w:pPr>
        <w:spacing w:after="0" w:line="288"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Notes called for redemption or purchase become due on the date fixed for redemption or purchase, unless such redemption or purchase is conditioned on the happening of a future event. On and after the redemption or purchase date, unless the Issuers default in payment of the redemption or purchase price, interest shall cease to accrue on Notes or portions of them called for redemption or purchase, unless such redemption or purchase remains conditioned on the occurrence of a future event.</w:t>
      </w:r>
    </w:p>
    <w:p>
      <w:pPr>
        <w:spacing w:after="0" w:line="146" w:lineRule="exact"/>
        <w:rPr>
          <w:sz w:val="20"/>
          <w:szCs w:val="20"/>
          <w:color w:val="auto"/>
        </w:rPr>
      </w:pPr>
    </w:p>
    <w:p>
      <w:pPr>
        <w:ind w:left="1480" w:right="699" w:firstLine="333"/>
        <w:spacing w:after="0" w:line="264" w:lineRule="auto"/>
        <w:rPr>
          <w:sz w:val="20"/>
          <w:szCs w:val="20"/>
          <w:color w:val="auto"/>
        </w:rPr>
      </w:pPr>
      <w:r>
        <w:rPr>
          <w:rFonts w:ascii="Times New Roman" w:cs="Times New Roman" w:eastAsia="Times New Roman" w:hAnsi="Times New Roman"/>
          <w:sz w:val="14"/>
          <w:szCs w:val="14"/>
          <w:color w:val="auto"/>
        </w:rPr>
        <w:t>The Issuers may redeem Notes pursuant to one or more of the relevant provisions in the Indenture, and a single notice of redemption may be delivered with respect to redemptions made pursuant to different provisions.</w:t>
      </w:r>
    </w:p>
    <w:p>
      <w:pPr>
        <w:spacing w:after="0" w:line="136" w:lineRule="exact"/>
        <w:rPr>
          <w:sz w:val="20"/>
          <w:szCs w:val="20"/>
          <w:color w:val="auto"/>
        </w:rPr>
      </w:pPr>
    </w:p>
    <w:p>
      <w:pPr>
        <w:ind w:left="1480" w:right="619" w:firstLine="333"/>
        <w:spacing w:after="0" w:line="264" w:lineRule="auto"/>
        <w:rPr>
          <w:sz w:val="20"/>
          <w:szCs w:val="20"/>
          <w:color w:val="auto"/>
        </w:rPr>
      </w:pPr>
      <w:r>
        <w:rPr>
          <w:rFonts w:ascii="Times New Roman" w:cs="Times New Roman" w:eastAsia="Times New Roman" w:hAnsi="Times New Roman"/>
          <w:sz w:val="14"/>
          <w:szCs w:val="14"/>
          <w:color w:val="auto"/>
        </w:rPr>
        <w:t>Any such notice may provide that redemptions made pursuant to different provisions will have different redemption dates and, with respect to redemptions that occur on the same date, may specify the order in which such redemptions are deemed to occur.</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7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8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Liens</w:t>
      </w:r>
    </w:p>
    <w:p>
      <w:pPr>
        <w:spacing w:after="0" w:line="88" w:lineRule="exact"/>
        <w:rPr>
          <w:sz w:val="20"/>
          <w:szCs w:val="20"/>
          <w:color w:val="auto"/>
        </w:rPr>
      </w:pPr>
    </w:p>
    <w:p>
      <w:pPr>
        <w:ind w:left="1480" w:right="579" w:firstLine="333"/>
        <w:spacing w:after="0" w:line="250" w:lineRule="auto"/>
        <w:rPr>
          <w:sz w:val="20"/>
          <w:szCs w:val="20"/>
          <w:color w:val="auto"/>
        </w:rPr>
      </w:pPr>
      <w:r>
        <w:rPr>
          <w:rFonts w:ascii="Times New Roman" w:cs="Times New Roman" w:eastAsia="Times New Roman" w:hAnsi="Times New Roman"/>
          <w:sz w:val="14"/>
          <w:szCs w:val="14"/>
          <w:color w:val="auto"/>
        </w:rPr>
        <w:t>The Issuers will not, and will not permit any of their Restricted Subsidiaries to, directly or indirectly, create, incur or assume any Lien (except Permitted Liens) on any of their or any Restricted Subsidiary’s Principal Property (whether such Principal Property is now existing or owned or hereafter created or acquired) that secures indebtedness for borrowed money, unless the Notes are equally and ratably secured with (or, at an Issuer’s option, on a senior basis to) the indebtedness so secured.</w:t>
      </w:r>
    </w:p>
    <w:p>
      <w:pPr>
        <w:spacing w:after="0" w:line="146" w:lineRule="exact"/>
        <w:rPr>
          <w:sz w:val="20"/>
          <w:szCs w:val="20"/>
          <w:color w:val="auto"/>
        </w:rPr>
      </w:pPr>
    </w:p>
    <w:p>
      <w:pPr>
        <w:jc w:val="both"/>
        <w:ind w:left="1480" w:right="399" w:firstLine="333"/>
        <w:spacing w:after="0" w:line="305" w:lineRule="auto"/>
        <w:rPr>
          <w:sz w:val="20"/>
          <w:szCs w:val="20"/>
          <w:color w:val="auto"/>
        </w:rPr>
      </w:pPr>
      <w:r>
        <w:rPr>
          <w:rFonts w:ascii="Times New Roman" w:cs="Times New Roman" w:eastAsia="Times New Roman" w:hAnsi="Times New Roman"/>
          <w:sz w:val="12"/>
          <w:szCs w:val="12"/>
          <w:color w:val="auto"/>
        </w:rPr>
        <w:t>Notwithstanding the immediately preceding paragraph, the Issuers and their Restricted Subsidiaries may, without equally and ratably securing the Notes, create, incur or assume any Lien which would otherwise be prohibited by the foregoing paragraph if, after giving effect thereto and at the time of determination, Aggregate Debt of the Issuers and their Restricted Subsidiaries secured by Liens on any of their respective Principal Properties does not exceed at any one time outstanding the greater of (x) $4,300 million and (y) 15% of Consolidated Net Tangible Assets.</w:t>
      </w:r>
    </w:p>
    <w:p>
      <w:pPr>
        <w:spacing w:after="0" w:line="116"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Any Lien created for the benefit of the Holders of any series of Notes pursuant to the second paragraph under this “Limitation on Liens” covenant shall provide by its terms that such Lien shall be automatically and unconditionally released and discharged upon the release and discharge of the Lien that gave rise to the obligation to secure the Notes of such series.</w:t>
      </w:r>
    </w:p>
    <w:p>
      <w:pPr>
        <w:spacing w:after="0" w:line="22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 and Lease-Back Transactions</w:t>
      </w:r>
    </w:p>
    <w:p>
      <w:pPr>
        <w:spacing w:after="0" w:line="88" w:lineRule="exact"/>
        <w:rPr>
          <w:sz w:val="20"/>
          <w:szCs w:val="20"/>
          <w:color w:val="auto"/>
        </w:rPr>
      </w:pPr>
    </w:p>
    <w:p>
      <w:pPr>
        <w:ind w:left="1480" w:right="539" w:firstLine="333"/>
        <w:spacing w:after="0" w:line="247" w:lineRule="auto"/>
        <w:rPr>
          <w:sz w:val="20"/>
          <w:szCs w:val="20"/>
          <w:color w:val="auto"/>
        </w:rPr>
      </w:pPr>
      <w:r>
        <w:rPr>
          <w:rFonts w:ascii="Times New Roman" w:cs="Times New Roman" w:eastAsia="Times New Roman" w:hAnsi="Times New Roman"/>
          <w:sz w:val="14"/>
          <w:szCs w:val="14"/>
          <w:color w:val="auto"/>
        </w:rPr>
        <w:t>The Issuers will not, and will not permit any of their Restricted Subsidiaries to, enter into any Sale and Lease-Back Transaction with respect to any Principal Property unless (a) the Issuers or such Restricted Subsidiary would be entitled to incur Indebtedness secured by a Lien on the Principal Property involved in such transaction at least equal in amount to the Attributable Indebtedness with respect to such Sale and Lease-Back Transaction without equally and ratably securing the Notes pursuant to the first paragraph under “—Limitation on Liens,” or (b) the Issuers shall apply an amount equal to the net proceeds of the Attributable Indebtedness with respect to such Sale and Lease-Back Transaction within 365 days after such Sale and Lease-Back Transaction to the defeasance or retirement of any series of Notes or other indebtedness of the Issuers or a Restricted Subsidiary or to the purchase, construction or development of other assets or property.</w:t>
      </w:r>
    </w:p>
    <w:p>
      <w:pPr>
        <w:spacing w:after="0" w:line="147" w:lineRule="exact"/>
        <w:rPr>
          <w:sz w:val="20"/>
          <w:szCs w:val="20"/>
          <w:color w:val="auto"/>
        </w:rPr>
      </w:pPr>
    </w:p>
    <w:p>
      <w:pPr>
        <w:jc w:val="both"/>
        <w:ind w:left="1480" w:right="579" w:firstLine="333"/>
        <w:spacing w:after="0" w:line="254" w:lineRule="auto"/>
        <w:rPr>
          <w:sz w:val="20"/>
          <w:szCs w:val="20"/>
          <w:color w:val="auto"/>
        </w:rPr>
      </w:pPr>
      <w:r>
        <w:rPr>
          <w:rFonts w:ascii="Times New Roman" w:cs="Times New Roman" w:eastAsia="Times New Roman" w:hAnsi="Times New Roman"/>
          <w:sz w:val="14"/>
          <w:szCs w:val="14"/>
          <w:color w:val="auto"/>
        </w:rPr>
        <w:t>Notwithstanding the foregoing, the Issuers and their Restricted Subsidiaries may enter into any Sale and Lease-Back Transaction which would otherwise be prohibited by the foregoing paragraph if, after giving effect thereto and at the time of determination, Aggregate Debt does not exceed at any one time outstanding the greater of (x) $4,300 million and (y) 15% of Consolidated Net Tangible Assets.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88" w:lineRule="exact"/>
        <w:rPr>
          <w:sz w:val="20"/>
          <w:szCs w:val="20"/>
          <w:color w:val="auto"/>
        </w:rPr>
      </w:pPr>
    </w:p>
    <w:p>
      <w:pPr>
        <w:jc w:val="both"/>
        <w:ind w:left="1480" w:right="559" w:firstLine="333"/>
        <w:spacing w:after="0" w:line="264" w:lineRule="auto"/>
        <w:rPr>
          <w:sz w:val="20"/>
          <w:szCs w:val="20"/>
          <w:color w:val="auto"/>
        </w:rPr>
      </w:pPr>
      <w:r>
        <w:rPr>
          <w:rFonts w:ascii="Times New Roman" w:cs="Times New Roman" w:eastAsia="Times New Roman" w:hAnsi="Times New Roman"/>
          <w:sz w:val="14"/>
          <w:szCs w:val="14"/>
          <w:color w:val="auto"/>
        </w:rPr>
        <w:t>Set forth below are certain defined terms to be used in the Indenture. For purposes of the Indenture, unless otherwise specifically indicated, the term “consolidated” with respect to any Person refers to such Person on a consolidated basis in accordance with GAAP.</w:t>
      </w:r>
    </w:p>
    <w:p>
      <w:pPr>
        <w:spacing w:after="0" w:line="134" w:lineRule="exact"/>
        <w:rPr>
          <w:sz w:val="20"/>
          <w:szCs w:val="20"/>
          <w:color w:val="auto"/>
        </w:rPr>
      </w:pPr>
    </w:p>
    <w:p>
      <w:pPr>
        <w:ind w:left="1480" w:right="419" w:firstLine="333"/>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Affiliate</w:t>
      </w:r>
      <w:r>
        <w:rPr>
          <w:rFonts w:ascii="Times New Roman" w:cs="Times New Roman" w:eastAsia="Times New Roman" w:hAnsi="Times New Roman"/>
          <w:sz w:val="14"/>
          <w:szCs w:val="14"/>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45" w:lineRule="exact"/>
        <w:rPr>
          <w:sz w:val="20"/>
          <w:szCs w:val="20"/>
          <w:color w:val="auto"/>
        </w:rPr>
      </w:pPr>
    </w:p>
    <w:p>
      <w:pPr>
        <w:ind w:left="1480" w:right="53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Aggregate Debt</w:t>
      </w:r>
      <w:r>
        <w:rPr>
          <w:rFonts w:ascii="Times New Roman" w:cs="Times New Roman" w:eastAsia="Times New Roman" w:hAnsi="Times New Roman"/>
          <w:sz w:val="14"/>
          <w:szCs w:val="14"/>
          <w:color w:val="auto"/>
        </w:rPr>
        <w:t>” means, as of the date of determination, the sum of (1) the aggregate principal amount of Indebtedness of the Issuers and their Restricted Subsidiaries secured by Liens (other than Permitted Liens) that is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7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39"/>
        <w:spacing w:after="0" w:line="254" w:lineRule="auto"/>
        <w:rPr>
          <w:sz w:val="20"/>
          <w:szCs w:val="20"/>
          <w:color w:val="auto"/>
        </w:rPr>
      </w:pPr>
      <w:r>
        <w:rPr>
          <w:rFonts w:ascii="Times New Roman" w:cs="Times New Roman" w:eastAsia="Times New Roman" w:hAnsi="Times New Roman"/>
          <w:sz w:val="14"/>
          <w:szCs w:val="14"/>
          <w:color w:val="auto"/>
        </w:rPr>
        <w:t>not permitted by the first paragraph under “Certain Covenants—Limitation on Liens” and (2) the Attributable Indebtedness of the Issuers and their Restricted Subsidiaries in respect of Sale and Lease-Back Transactions entered into pursuant to the second paragraph of “Certain Covenants—Limitation on Sale and Lease-Back Transactions.”</w:t>
      </w:r>
    </w:p>
    <w:p>
      <w:pPr>
        <w:spacing w:after="0" w:line="140" w:lineRule="exact"/>
        <w:rPr>
          <w:sz w:val="20"/>
          <w:szCs w:val="20"/>
          <w:color w:val="auto"/>
        </w:rPr>
      </w:pPr>
    </w:p>
    <w:p>
      <w:pPr>
        <w:ind w:left="1480" w:right="379" w:firstLine="333"/>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Attributable Indebtedness</w:t>
      </w:r>
      <w:r>
        <w:rPr>
          <w:rFonts w:ascii="Times New Roman" w:cs="Times New Roman" w:eastAsia="Times New Roman" w:hAnsi="Times New Roman"/>
          <w:sz w:val="12"/>
          <w:szCs w:val="12"/>
          <w:color w:val="auto"/>
        </w:rPr>
        <w:t>” when used in connection with a Sale and Lease-Back Transaction relating to a Principal Property means, at the time of determination, the lesser of (a) the fair market value of property or assets involved in the Sale and Lease-Back Transaction, (b) the present value of the total net amount of rent required to be paid under such lease during the remaining term thereof (including any renewal term or period for which such lease has been extended), computed by discounting from the respective due dates to such date such total net amount of rent at the rate of interest set forth or implicit in the terms of such lease or, if not practicable to determine such rate, the rate per annum equal to the weighted average interest rate per annum borne by the Notes of each series outstanding pursuant to the Indenture compounded semi-annually, or (c) if the obligation with respect to the Sale and Lease-Back Transaction constitutes a Financing Lease Obligation, the amount equal to the capitalized amount of such obligation determined in accordance with GAAP and included in the financial statements of the lessee.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that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w:t>
      </w:r>
    </w:p>
    <w:p>
      <w:pPr>
        <w:spacing w:after="0" w:line="287" w:lineRule="exact"/>
        <w:rPr>
          <w:sz w:val="20"/>
          <w:szCs w:val="20"/>
          <w:color w:val="auto"/>
        </w:rPr>
      </w:pPr>
    </w:p>
    <w:p>
      <w:pPr>
        <w:ind w:left="1480" w:right="379" w:firstLine="33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w:t>
      </w:r>
      <w:r>
        <w:rPr>
          <w:rFonts w:ascii="Times New Roman" w:cs="Times New Roman" w:eastAsia="Times New Roman" w:hAnsi="Times New Roman"/>
          <w:sz w:val="14"/>
          <w:szCs w:val="14"/>
          <w:color w:val="auto"/>
        </w:rPr>
        <w:t>” with respect to a Person means the board of directors (or similar body, including any sole or managing member, as applicable) of such Person or any committee thereof duly authorized to act on behalf of such board of directors (or similar body, including any sole or managing member, as applicable).</w:t>
      </w:r>
    </w:p>
    <w:p>
      <w:pPr>
        <w:spacing w:after="0" w:line="14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Business Day</w:t>
      </w:r>
      <w:r>
        <w:rPr>
          <w:rFonts w:ascii="Times New Roman" w:cs="Times New Roman" w:eastAsia="Times New Roman" w:hAnsi="Times New Roman"/>
          <w:sz w:val="14"/>
          <w:szCs w:val="14"/>
          <w:color w:val="auto"/>
        </w:rPr>
        <w:t>” means each day which is not a Legal Holiday.</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w:t>
      </w:r>
    </w:p>
    <w:p>
      <w:pPr>
        <w:spacing w:after="0" w:line="96" w:lineRule="exact"/>
        <w:rPr>
          <w:sz w:val="20"/>
          <w:szCs w:val="20"/>
          <w:color w:val="auto"/>
        </w:rPr>
      </w:pPr>
    </w:p>
    <w:p>
      <w:pPr>
        <w:ind w:left="2220" w:hanging="416"/>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corporation, corporate stock;</w:t>
      </w:r>
    </w:p>
    <w:p>
      <w:pPr>
        <w:spacing w:after="0" w:line="94" w:lineRule="exact"/>
        <w:rPr>
          <w:rFonts w:ascii="Times New Roman" w:cs="Times New Roman" w:eastAsia="Times New Roman" w:hAnsi="Times New Roman"/>
          <w:sz w:val="14"/>
          <w:szCs w:val="14"/>
          <w:color w:val="auto"/>
        </w:rPr>
      </w:pPr>
    </w:p>
    <w:p>
      <w:pPr>
        <w:ind w:left="2220" w:right="379" w:hanging="416"/>
        <w:spacing w:after="0" w:line="264" w:lineRule="auto"/>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association or business entity, any and all shares, interests, participations, rights or other equivalents (however designated) of corporate stock;</w:t>
      </w:r>
    </w:p>
    <w:p>
      <w:pPr>
        <w:spacing w:after="0" w:line="6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or limited liability company, partnership or membership interests (whether general or limited); and</w:t>
      </w:r>
    </w:p>
    <w:p>
      <w:pPr>
        <w:spacing w:after="0" w:line="94" w:lineRule="exact"/>
        <w:rPr>
          <w:rFonts w:ascii="Times New Roman" w:cs="Times New Roman" w:eastAsia="Times New Roman" w:hAnsi="Times New Roman"/>
          <w:sz w:val="14"/>
          <w:szCs w:val="14"/>
          <w:color w:val="auto"/>
        </w:rPr>
      </w:pPr>
    </w:p>
    <w:p>
      <w:pPr>
        <w:ind w:left="2220" w:right="439" w:hanging="416"/>
        <w:spacing w:after="0" w:line="264" w:lineRule="auto"/>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interest or participation that confers on a Person the right to receive a share of the profits and losses of, or distributions of assets of, the issuing Person.</w:t>
      </w:r>
    </w:p>
    <w:p>
      <w:pPr>
        <w:spacing w:after="0" w:line="13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w:t>
      </w:r>
      <w:r>
        <w:rPr>
          <w:rFonts w:ascii="Times New Roman" w:cs="Times New Roman" w:eastAsia="Times New Roman" w:hAnsi="Times New Roman"/>
          <w:sz w:val="14"/>
          <w:szCs w:val="14"/>
          <w:color w:val="auto"/>
        </w:rPr>
        <w:t>” means the occurrence of one or more of the following events after the Issue Date:</w:t>
      </w:r>
    </w:p>
    <w:p>
      <w:pPr>
        <w:spacing w:after="0" w:line="96" w:lineRule="exact"/>
        <w:rPr>
          <w:sz w:val="20"/>
          <w:szCs w:val="20"/>
          <w:color w:val="auto"/>
        </w:rPr>
      </w:pPr>
    </w:p>
    <w:p>
      <w:pPr>
        <w:ind w:left="2220" w:right="639" w:hanging="416"/>
        <w:spacing w:after="0" w:line="264" w:lineRule="auto"/>
        <w:tabs>
          <w:tab w:leader="none" w:pos="2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lease or transfer, in one or a series of related transactions, of all or substantially all of the assets of Parent and its Subsidiaries, taken as a whole, to any Person other than any Permitted Holders;</w:t>
      </w:r>
    </w:p>
    <w:p>
      <w:pPr>
        <w:spacing w:after="0" w:line="64" w:lineRule="exact"/>
        <w:rPr>
          <w:rFonts w:ascii="Times New Roman" w:cs="Times New Roman" w:eastAsia="Times New Roman" w:hAnsi="Times New Roman"/>
          <w:sz w:val="14"/>
          <w:szCs w:val="14"/>
          <w:color w:val="auto"/>
        </w:rPr>
      </w:pPr>
    </w:p>
    <w:p>
      <w:pPr>
        <w:ind w:left="2220" w:right="439" w:hanging="416"/>
        <w:spacing w:after="0" w:line="291" w:lineRule="auto"/>
        <w:tabs>
          <w:tab w:leader="none" w:pos="22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Parent (within the meaning of Rule</w:t>
      </w:r>
    </w:p>
    <w:p>
      <w:pPr>
        <w:ind w:left="2220" w:right="399"/>
        <w:spacing w:after="0" w:line="30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7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2220" w:right="419"/>
        <w:spacing w:after="0" w:line="254" w:lineRule="auto"/>
        <w:rPr>
          <w:sz w:val="20"/>
          <w:szCs w:val="20"/>
          <w:color w:val="auto"/>
        </w:rPr>
      </w:pPr>
      <w:r>
        <w:rPr>
          <w:rFonts w:ascii="Times New Roman" w:cs="Times New Roman" w:eastAsia="Times New Roman" w:hAnsi="Times New Roman"/>
          <w:sz w:val="14"/>
          <w:szCs w:val="14"/>
          <w:color w:val="auto"/>
        </w:rPr>
        <w:t>Parent having a majority of the aggregate votes on the Board of Parent, unless the Permitted Holders otherwise have the right (pursuant to contract, proxy or otherwise), directly or indirectly, to designate or appoint directors of Parent having a majority of the aggregate votes on the Board of Parent;</w:t>
      </w:r>
    </w:p>
    <w:p>
      <w:pPr>
        <w:spacing w:after="0" w:line="71" w:lineRule="exact"/>
        <w:rPr>
          <w:sz w:val="20"/>
          <w:szCs w:val="20"/>
          <w:color w:val="auto"/>
        </w:rPr>
      </w:pPr>
    </w:p>
    <w:p>
      <w:pPr>
        <w:ind w:left="2220" w:right="439" w:hanging="416"/>
        <w:spacing w:after="0" w:line="247"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consolidates with, or merges with or into, any Person, or any Person consolidates with, or merges with or into, Parent, in any such event pursuant to a transaction in which the outstanding Voting Stock of Parent or the Voting Stock of such other Person is converted into or exchanged for cash, securities or other property, other than any such transaction where the shares of Voting Stock of Parent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w:t>
      </w:r>
    </w:p>
    <w:p>
      <w:pPr>
        <w:spacing w:after="0" w:line="78"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of the Issuers shall cease to be a direct or indirect Subsidiary of Parent; or</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by Parent of a plan providing for its liquidation or dissolution.</w:t>
      </w:r>
    </w:p>
    <w:p>
      <w:pPr>
        <w:spacing w:after="0" w:line="166"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as a result of veto or approval rights in any joint venture agreement, shareholder agreement or other similar agreement, (ii) 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such Parent Entity.</w:t>
      </w:r>
    </w:p>
    <w:p>
      <w:pPr>
        <w:spacing w:after="0" w:line="152" w:lineRule="exact"/>
        <w:rPr>
          <w:sz w:val="20"/>
          <w:szCs w:val="20"/>
          <w:color w:val="auto"/>
        </w:rPr>
      </w:pPr>
    </w:p>
    <w:p>
      <w:pPr>
        <w:ind w:left="1480" w:right="77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 Triggering Event</w:t>
      </w:r>
      <w:r>
        <w:rPr>
          <w:rFonts w:ascii="Times New Roman" w:cs="Times New Roman" w:eastAsia="Times New Roman" w:hAnsi="Times New Roman"/>
          <w:sz w:val="14"/>
          <w:szCs w:val="14"/>
          <w:color w:val="auto"/>
        </w:rPr>
        <w:t>” means, with respect to any series of Notes, the occurrence of both a Change of Control and a Rating Decline with respect to such series of Notes.</w:t>
      </w:r>
    </w:p>
    <w:p>
      <w:pPr>
        <w:spacing w:after="0" w:line="132"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Net Tangible Assets</w:t>
      </w:r>
      <w:r>
        <w:rPr>
          <w:rFonts w:ascii="Times New Roman" w:cs="Times New Roman" w:eastAsia="Times New Roman" w:hAnsi="Times New Roman"/>
          <w:sz w:val="14"/>
          <w:szCs w:val="14"/>
          <w:color w:val="auto"/>
        </w:rPr>
        <w:t>” means, at any time, the aggregate amount of assets (less applicable reserves and other properly deductible items) after deducting therefrom (1) all current liabilities (including, for the avoidance of doubt, Non-Financing Lease Obligations), except for (a) notes and loans payable, (b) current maturities of long-term debt and (c) current maturities of obligations under Financing Lease Obligations (such current liabilities referred to in this clause (1), less the items set forth in sub-clauses (a) through (c), the “</w:t>
      </w:r>
      <w:r>
        <w:rPr>
          <w:rFonts w:ascii="Times New Roman" w:cs="Times New Roman" w:eastAsia="Times New Roman" w:hAnsi="Times New Roman"/>
          <w:sz w:val="14"/>
          <w:szCs w:val="14"/>
          <w:i w:val="1"/>
          <w:iCs w:val="1"/>
          <w:color w:val="auto"/>
        </w:rPr>
        <w:t>Adjusted Current Liabilities</w:t>
      </w:r>
      <w:r>
        <w:rPr>
          <w:rFonts w:ascii="Times New Roman" w:cs="Times New Roman" w:eastAsia="Times New Roman" w:hAnsi="Times New Roman"/>
          <w:sz w:val="14"/>
          <w:szCs w:val="14"/>
          <w:color w:val="auto"/>
        </w:rPr>
        <w:t>”),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(such items referred to in this clause (2), the “</w:t>
      </w:r>
      <w:r>
        <w:rPr>
          <w:rFonts w:ascii="Times New Roman" w:cs="Times New Roman" w:eastAsia="Times New Roman" w:hAnsi="Times New Roman"/>
          <w:sz w:val="14"/>
          <w:szCs w:val="14"/>
          <w:i w:val="1"/>
          <w:iCs w:val="1"/>
          <w:color w:val="auto"/>
        </w:rPr>
        <w:t>Intangible Assets</w:t>
      </w:r>
      <w:r>
        <w:rPr>
          <w:rFonts w:ascii="Times New Roman" w:cs="Times New Roman" w:eastAsia="Times New Roman" w:hAnsi="Times New Roman"/>
          <w:sz w:val="14"/>
          <w:szCs w:val="14"/>
          <w:color w:val="auto"/>
        </w:rPr>
        <w:t xml:space="preserve">”), all as set forth on the most recent consolidated balance sheet of Parent and its Subsidiaries as of the end of the most recently ended fiscal quarter prior to the applicable date of determination for which financial statements are available;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purposes of testing the covenants under the Indenture in connection with any transaction, (i) the assets and Intangible Assets of Parent and its Subsidiaries 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the Indenture and (ii) the Adjusted Current Liabilities of Parent and its Subsidiaries shall be adjusted to reflect any increase or decrease in Adjusted Current Liabilities as a result of such transaction being tested under the Indenture or any acquisitions or dispositions of assets that have occurred during the period from the date of the applicable balance sheet through the applicable date of determination.</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7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Dell</w:t>
      </w:r>
      <w:r>
        <w:rPr>
          <w:rFonts w:ascii="Times New Roman" w:cs="Times New Roman" w:eastAsia="Times New Roman" w:hAnsi="Times New Roman"/>
          <w:sz w:val="14"/>
          <w:szCs w:val="14"/>
          <w:color w:val="auto"/>
        </w:rPr>
        <w:t>” means Dell Inc., a Delaware corporation.</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Dell International</w:t>
      </w:r>
      <w:r>
        <w:rPr>
          <w:rFonts w:ascii="Times New Roman" w:cs="Times New Roman" w:eastAsia="Times New Roman" w:hAnsi="Times New Roman"/>
          <w:sz w:val="14"/>
          <w:szCs w:val="14"/>
          <w:color w:val="auto"/>
        </w:rPr>
        <w:t>” means Dell International L.L.C., a Delaware limited liability company.</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Denali Intermediate</w:t>
      </w:r>
      <w:r>
        <w:rPr>
          <w:rFonts w:ascii="Times New Roman" w:cs="Times New Roman" w:eastAsia="Times New Roman" w:hAnsi="Times New Roman"/>
          <w:sz w:val="14"/>
          <w:szCs w:val="14"/>
          <w:color w:val="auto"/>
        </w:rPr>
        <w:t>” means Denali Intermediate Inc., a Delaware corporation.</w:t>
      </w:r>
    </w:p>
    <w:p>
      <w:pPr>
        <w:spacing w:after="0" w:line="166" w:lineRule="exact"/>
        <w:rPr>
          <w:sz w:val="20"/>
          <w:szCs w:val="20"/>
          <w:color w:val="auto"/>
        </w:rPr>
      </w:pPr>
    </w:p>
    <w:p>
      <w:pPr>
        <w:ind w:left="1480" w:right="51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Domestic Subsidiary</w:t>
      </w:r>
      <w:r>
        <w:rPr>
          <w:rFonts w:ascii="Times New Roman" w:cs="Times New Roman" w:eastAsia="Times New Roman" w:hAnsi="Times New Roman"/>
          <w:sz w:val="14"/>
          <w:szCs w:val="14"/>
          <w:color w:val="auto"/>
        </w:rPr>
        <w:t>” means any Subsidiary (other than a Foreign Subsidiary) that is organized or existing under the laws of the United States, any state or territory thereof or the District of Columbia.</w:t>
      </w:r>
    </w:p>
    <w:p>
      <w:pPr>
        <w:spacing w:after="0" w:line="13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DTC</w:t>
      </w:r>
      <w:r>
        <w:rPr>
          <w:rFonts w:ascii="Times New Roman" w:cs="Times New Roman" w:eastAsia="Times New Roman" w:hAnsi="Times New Roman"/>
          <w:sz w:val="14"/>
          <w:szCs w:val="14"/>
          <w:color w:val="auto"/>
        </w:rPr>
        <w:t>” means The Depository Trust Company.</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EMC</w:t>
      </w:r>
      <w:r>
        <w:rPr>
          <w:rFonts w:ascii="Times New Roman" w:cs="Times New Roman" w:eastAsia="Times New Roman" w:hAnsi="Times New Roman"/>
          <w:sz w:val="14"/>
          <w:szCs w:val="14"/>
          <w:color w:val="auto"/>
        </w:rPr>
        <w:t>” means EMC Corporation, a Massachusetts corporation.</w:t>
      </w:r>
    </w:p>
    <w:p>
      <w:pPr>
        <w:spacing w:after="0" w:line="166" w:lineRule="exact"/>
        <w:rPr>
          <w:sz w:val="20"/>
          <w:szCs w:val="20"/>
          <w:color w:val="auto"/>
        </w:rPr>
      </w:pPr>
    </w:p>
    <w:p>
      <w:pPr>
        <w:ind w:left="1480" w:right="55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Equity Interests</w:t>
      </w:r>
      <w:r>
        <w:rPr>
          <w:rFonts w:ascii="Times New Roman" w:cs="Times New Roman" w:eastAsia="Times New Roman" w:hAnsi="Times New Roman"/>
          <w:sz w:val="14"/>
          <w:szCs w:val="14"/>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left="1480" w:right="379" w:firstLine="333"/>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Financing Lease Obligation</w:t>
      </w:r>
      <w:r>
        <w:rPr>
          <w:rFonts w:ascii="Times New Roman" w:cs="Times New Roman" w:eastAsia="Times New Roman" w:hAnsi="Times New Roman"/>
          <w:sz w:val="14"/>
          <w:szCs w:val="14"/>
          <w:color w:val="auto"/>
        </w:rPr>
        <w:t>” means an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1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Fitch</w:t>
      </w:r>
      <w:r>
        <w:rPr>
          <w:rFonts w:ascii="Times New Roman" w:cs="Times New Roman" w:eastAsia="Times New Roman" w:hAnsi="Times New Roman"/>
          <w:sz w:val="14"/>
          <w:szCs w:val="14"/>
          <w:color w:val="auto"/>
        </w:rPr>
        <w:t>” means Fitch Inc. and any successor to its rating agency business.</w:t>
      </w:r>
    </w:p>
    <w:p>
      <w:pPr>
        <w:spacing w:after="0" w:line="166" w:lineRule="exact"/>
        <w:rPr>
          <w:sz w:val="20"/>
          <w:szCs w:val="20"/>
          <w:color w:val="auto"/>
        </w:rPr>
      </w:pPr>
    </w:p>
    <w:p>
      <w:pPr>
        <w:ind w:left="1480" w:right="35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Subsidiary</w:t>
      </w:r>
      <w:r>
        <w:rPr>
          <w:rFonts w:ascii="Times New Roman" w:cs="Times New Roman" w:eastAsia="Times New Roman" w:hAnsi="Times New Roman"/>
          <w:sz w:val="14"/>
          <w:szCs w:val="14"/>
          <w:color w:val="auto"/>
        </w:rPr>
        <w:t>” means any Subsidiary that is not organized under the laws of the United States of America or any state or territory thereof or the District of Columbia and any Subsidiary of such Foreign Subsidiary.</w:t>
      </w:r>
    </w:p>
    <w:p>
      <w:pPr>
        <w:spacing w:after="0" w:line="132" w:lineRule="exact"/>
        <w:rPr>
          <w:sz w:val="20"/>
          <w:szCs w:val="20"/>
          <w:color w:val="auto"/>
        </w:rPr>
      </w:pPr>
    </w:p>
    <w:p>
      <w:pPr>
        <w:ind w:left="1480" w:right="43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GAAP</w:t>
      </w:r>
      <w:r>
        <w:rPr>
          <w:rFonts w:ascii="Times New Roman" w:cs="Times New Roman" w:eastAsia="Times New Roman" w:hAnsi="Times New Roman"/>
          <w:sz w:val="14"/>
          <w:szCs w:val="14"/>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w:t>
      </w:r>
    </w:p>
    <w:p>
      <w:pPr>
        <w:spacing w:after="0" w:line="132" w:lineRule="exact"/>
        <w:rPr>
          <w:sz w:val="20"/>
          <w:szCs w:val="20"/>
          <w:color w:val="auto"/>
        </w:rPr>
      </w:pPr>
    </w:p>
    <w:p>
      <w:pPr>
        <w:ind w:left="1480" w:right="499" w:firstLine="33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guarantee</w:t>
      </w:r>
      <w:r>
        <w:rPr>
          <w:rFonts w:ascii="Times New Roman" w:cs="Times New Roman" w:eastAsia="Times New Roman" w:hAnsi="Times New Roman"/>
          <w:sz w:val="14"/>
          <w:szCs w:val="14"/>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40" w:lineRule="exact"/>
        <w:rPr>
          <w:sz w:val="20"/>
          <w:szCs w:val="20"/>
          <w:color w:val="auto"/>
        </w:rPr>
      </w:pPr>
    </w:p>
    <w:p>
      <w:pPr>
        <w:ind w:left="1480" w:right="39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Guarantor</w:t>
      </w:r>
      <w:r>
        <w:rPr>
          <w:rFonts w:ascii="Times New Roman" w:cs="Times New Roman" w:eastAsia="Times New Roman" w:hAnsi="Times New Roman"/>
          <w:sz w:val="14"/>
          <w:szCs w:val="14"/>
          <w:color w:val="auto"/>
        </w:rPr>
        <w:t>” means, with respect to each series of Notes, Parent, Denali Intermediate and Dell until, in each case, such Person is released from its Note Guarantee with respect to such series of Notes in accordance with the terms of the Indenture.</w:t>
      </w:r>
    </w:p>
    <w:p>
      <w:pPr>
        <w:spacing w:after="0" w:line="132" w:lineRule="exact"/>
        <w:rPr>
          <w:sz w:val="20"/>
          <w:szCs w:val="20"/>
          <w:color w:val="auto"/>
        </w:rPr>
      </w:pPr>
    </w:p>
    <w:p>
      <w:pPr>
        <w:ind w:left="1480" w:right="459" w:firstLine="333"/>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Hedging Obligations</w:t>
      </w:r>
      <w:r>
        <w:rPr>
          <w:rFonts w:ascii="Times New Roman" w:cs="Times New Roman" w:eastAsia="Times New Roman" w:hAnsi="Times New Roman"/>
          <w:sz w:val="14"/>
          <w:szCs w:val="14"/>
          <w:color w:val="auto"/>
        </w:rPr>
        <w:t>” means, with respect to any Person, the obligations of such Person with respect to (1) any rate swap transactions, basis swaps, credit derivative transactions, forward rate transactions,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4"/>
          <w:szCs w:val="14"/>
          <w:i w:val="1"/>
          <w:iCs w:val="1"/>
          <w:color w:val="auto"/>
        </w:rPr>
        <w:t>Master Agreement</w:t>
      </w:r>
      <w:r>
        <w:rPr>
          <w:rFonts w:ascii="Times New Roman" w:cs="Times New Roman" w:eastAsia="Times New Roman" w:hAnsi="Times New Roman"/>
          <w:sz w:val="14"/>
          <w:szCs w:val="14"/>
          <w:color w:val="auto"/>
        </w:rPr>
        <w:t>”), including any such obligations or liabilities under any Master Agreement.</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7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 means the Person in whose name a Note is registered on the registrar’s books.</w:t>
      </w:r>
    </w:p>
    <w:p>
      <w:pPr>
        <w:spacing w:after="0" w:line="166" w:lineRule="exact"/>
        <w:rPr>
          <w:sz w:val="20"/>
          <w:szCs w:val="20"/>
          <w:color w:val="auto"/>
        </w:rPr>
      </w:pPr>
    </w:p>
    <w:p>
      <w:pPr>
        <w:ind w:left="1480" w:right="379" w:firstLine="33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Investment Grade Rating</w:t>
      </w:r>
      <w:r>
        <w:rPr>
          <w:rFonts w:ascii="Times New Roman" w:cs="Times New Roman" w:eastAsia="Times New Roman" w:hAnsi="Times New Roman"/>
          <w:sz w:val="14"/>
          <w:szCs w:val="14"/>
          <w:color w:val="auto"/>
        </w:rPr>
        <w:t>” means a rating equal to or higher than Baa3 (or the equivalent) by Moody’s, BBB- (or the equivalent) by S&amp;P and BBB- (or the equivalent) by Fitch, or the equivalent investment grade credit rating from any other Rating Agency substituted for Moody’s, S&amp;P or Fitch pursuant to clause (b) of the definition of “Rating Agency.”</w:t>
      </w:r>
    </w:p>
    <w:p>
      <w:pPr>
        <w:spacing w:after="0" w:line="140"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Investors</w:t>
      </w:r>
      <w:r>
        <w:rPr>
          <w:rFonts w:ascii="Times New Roman" w:cs="Times New Roman" w:eastAsia="Times New Roman" w:hAnsi="Times New Roman"/>
          <w:sz w:val="14"/>
          <w:szCs w:val="14"/>
          <w:color w:val="auto"/>
        </w:rPr>
        <w:t>” means each of (1) Michael S. Dell and his Affiliates, related estate planning and charitable trusts and vehicles and his family members, and also upon Michael S. Dell’s death, (a) any Person who was an Affiliate of Michael S. Dell that upon his death directly or indirectly owns Equity Interests in any Parent Entity of Dell, Dell or any Subsidiary and (b) Michael S. Dell’s heirs, executors and/or administrators, (2) MSDC Management L.P., its Affiliates and any funds, partnerships or other co-investment vehicles managed, advised or controlled by the foregoing or their respective Affiliates and (3) Silver Lake Partners IV, L.P., Silver Lake Technology Investors IV, L.P., Silver Lake Technology Investors V, L.P., Silver Lake Partners V DE (AIV), L.P., Silver Lake Partners V DE (AIV), L.P., SL SPV-2, L.P., Silver Lake Group, L.L.C. and their Affiliates and any funds, partnerships or other co-investment vehicles managed, advised or controlled by the foregoing or their respective Affiliates, excluding, in each case, Denali Intermediate Inc. and its Subsidiaries and any portfolio companies of any of the foregoing.</w:t>
      </w:r>
    </w:p>
    <w:p>
      <w:pPr>
        <w:spacing w:after="0" w:line="14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Issue Date</w:t>
      </w:r>
      <w:r>
        <w:rPr>
          <w:rFonts w:ascii="Times New Roman" w:cs="Times New Roman" w:eastAsia="Times New Roman" w:hAnsi="Times New Roman"/>
          <w:sz w:val="14"/>
          <w:szCs w:val="14"/>
          <w:color w:val="auto"/>
        </w:rPr>
        <w:t>” means June 16, 2026.</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Legal Holiday</w:t>
      </w:r>
      <w:r>
        <w:rPr>
          <w:rFonts w:ascii="Times New Roman" w:cs="Times New Roman" w:eastAsia="Times New Roman" w:hAnsi="Times New Roman"/>
          <w:sz w:val="12"/>
          <w:szCs w:val="12"/>
          <w:color w:val="auto"/>
        </w:rPr>
        <w:t>” means a Saturday, a Sunday or a day on which commercial banking institutions are not required to be open in the State of New</w:t>
      </w:r>
    </w:p>
    <w:p>
      <w:pPr>
        <w:spacing w:after="0" w:line="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York.</w:t>
      </w:r>
    </w:p>
    <w:p>
      <w:pPr>
        <w:spacing w:after="0" w:line="152" w:lineRule="exact"/>
        <w:rPr>
          <w:sz w:val="20"/>
          <w:szCs w:val="20"/>
          <w:color w:val="auto"/>
        </w:rPr>
      </w:pPr>
    </w:p>
    <w:p>
      <w:pPr>
        <w:ind w:left="1480" w:right="359" w:firstLine="333"/>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Lien</w:t>
      </w:r>
      <w:r>
        <w:rPr>
          <w:rFonts w:ascii="Times New Roman" w:cs="Times New Roman" w:eastAsia="Times New Roman" w:hAnsi="Times New Roman"/>
          <w:sz w:val="14"/>
          <w:szCs w:val="14"/>
          <w:color w:val="auto"/>
        </w:rPr>
        <w:t xml:space="preserve">” means, with respect to any asset, (1) any mortgage, deed of trust, lien, pledge, hypothecation, encumbrance, charge or security interest in, on or of such asset and (2) the interest of a vendor or a lessor under any conditional sale agreement, Financing Lease Obligation or title retention agreement (or any financing lease having substantially the same economic effect as any of the foregoing) relating to such asset;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a Non-Financing Lease Obligation be deemed to constitute a Lien.</w:t>
      </w:r>
    </w:p>
    <w:p>
      <w:pPr>
        <w:spacing w:after="0" w:line="1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Moody’s</w:t>
      </w:r>
      <w:r>
        <w:rPr>
          <w:rFonts w:ascii="Times New Roman" w:cs="Times New Roman" w:eastAsia="Times New Roman" w:hAnsi="Times New Roman"/>
          <w:sz w:val="14"/>
          <w:szCs w:val="14"/>
          <w:color w:val="auto"/>
        </w:rPr>
        <w:t>” means Moody’s Investors Service, Inc. and any successor to its rating agency business.</w:t>
      </w:r>
    </w:p>
    <w:p>
      <w:pPr>
        <w:spacing w:after="0" w:line="166" w:lineRule="exact"/>
        <w:rPr>
          <w:sz w:val="20"/>
          <w:szCs w:val="20"/>
          <w:color w:val="auto"/>
        </w:rPr>
      </w:pPr>
    </w:p>
    <w:p>
      <w:pPr>
        <w:ind w:left="1480" w:right="619" w:firstLine="33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Non-Financing Lease Obligation</w:t>
      </w:r>
      <w:r>
        <w:rPr>
          <w:rFonts w:ascii="Times New Roman" w:cs="Times New Roman" w:eastAsia="Times New Roman" w:hAnsi="Times New Roman"/>
          <w:sz w:val="14"/>
          <w:szCs w:val="14"/>
          <w:color w:val="auto"/>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Non-Financing Lease Obligation.</w:t>
      </w:r>
    </w:p>
    <w:p>
      <w:pPr>
        <w:spacing w:after="0" w:line="140" w:lineRule="exact"/>
        <w:rPr>
          <w:sz w:val="20"/>
          <w:szCs w:val="20"/>
          <w:color w:val="auto"/>
        </w:rPr>
      </w:pPr>
    </w:p>
    <w:p>
      <w:pPr>
        <w:ind w:left="1480" w:right="379" w:firstLine="333"/>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Nonrecourse Obligation</w:t>
      </w:r>
      <w:r>
        <w:rPr>
          <w:rFonts w:ascii="Times New Roman" w:cs="Times New Roman" w:eastAsia="Times New Roman" w:hAnsi="Times New Roman"/>
          <w:sz w:val="14"/>
          <w:szCs w:val="14"/>
          <w:color w:val="auto"/>
        </w:rPr>
        <w:t>” means indebtedness or other Obligations substantially related to (1) the acquisition of assets not previously owned by Dell or any of its Subsidiaries or (2) the financing of a project involving the development or expansion of properties of Dell or any of its Subsidiaries, as to which the obligee with respect to such indebtedness or Obligation has no recourse to Dell or any of its Subsidiaries or any assets of Dell or any of its Subsidiaries other than the assets which were acquired with the proceeds of such transaction or the project financed with the proceeds of such transaction (and the proceeds thereof).</w:t>
      </w:r>
    </w:p>
    <w:p>
      <w:pPr>
        <w:spacing w:after="0" w:line="14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Note Guarantee</w:t>
      </w:r>
      <w:r>
        <w:rPr>
          <w:rFonts w:ascii="Times New Roman" w:cs="Times New Roman" w:eastAsia="Times New Roman" w:hAnsi="Times New Roman"/>
          <w:sz w:val="14"/>
          <w:szCs w:val="14"/>
          <w:color w:val="auto"/>
        </w:rPr>
        <w:t>” means the guarantee by any Guarantor of the Issuers’ Obligations under the Indenture and the Notes.</w:t>
      </w:r>
    </w:p>
    <w:p>
      <w:pPr>
        <w:spacing w:after="0" w:line="166"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Obligations</w:t>
      </w:r>
      <w:r>
        <w:rPr>
          <w:rFonts w:ascii="Times New Roman" w:cs="Times New Roman" w:eastAsia="Times New Roman" w:hAnsi="Times New Roman"/>
          <w:sz w:val="12"/>
          <w:szCs w:val="12"/>
          <w:color w:val="auto"/>
        </w:rPr>
        <w:t xml:space="preserve">”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premium, penalties, fees, indemnifications, reimbursements, damages and other liabilities, payable under the documentation governing any indebtedness;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any of the foregoing (other than principal and interest) shall no longer constitute “Obligations” after payment in full of such principal and interest.</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7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Offering</w:t>
      </w:r>
      <w:r>
        <w:rPr>
          <w:rFonts w:ascii="Times New Roman" w:cs="Times New Roman" w:eastAsia="Times New Roman" w:hAnsi="Times New Roman"/>
          <w:sz w:val="14"/>
          <w:szCs w:val="14"/>
          <w:color w:val="auto"/>
        </w:rPr>
        <w:t>” has the meaning set forth on the cover of the prospectus supplement.</w:t>
      </w:r>
    </w:p>
    <w:p>
      <w:pPr>
        <w:spacing w:after="0" w:line="166" w:lineRule="exact"/>
        <w:rPr>
          <w:sz w:val="20"/>
          <w:szCs w:val="20"/>
          <w:color w:val="auto"/>
        </w:rPr>
      </w:pPr>
    </w:p>
    <w:p>
      <w:pPr>
        <w:ind w:left="1480" w:right="419" w:firstLine="33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w:t>
      </w:r>
      <w:r>
        <w:rPr>
          <w:rFonts w:ascii="Times New Roman" w:cs="Times New Roman" w:eastAsia="Times New Roman" w:hAnsi="Times New Roman"/>
          <w:sz w:val="14"/>
          <w:szCs w:val="14"/>
          <w:color w:val="auto"/>
        </w:rPr>
        <w:t>” means the Chairman of the Board, any Manager or Director, the Chief Executive Officer, the Chief Financial Officer, the Chief Operating Officer, the President, any Executive Vice President, Senior Vice President or Vice President, the Treasurer, the Controller or the Secretary or any other officer designated by any such individuals of Parent or any other Person, as the case may be.</w:t>
      </w:r>
    </w:p>
    <w:p>
      <w:pPr>
        <w:spacing w:after="0" w:line="140" w:lineRule="exact"/>
        <w:rPr>
          <w:sz w:val="20"/>
          <w:szCs w:val="20"/>
          <w:color w:val="auto"/>
        </w:rPr>
      </w:pPr>
    </w:p>
    <w:p>
      <w:pPr>
        <w:ind w:left="1480" w:right="61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Officer’s Certificate</w:t>
      </w:r>
      <w:r>
        <w:rPr>
          <w:rFonts w:ascii="Times New Roman" w:cs="Times New Roman" w:eastAsia="Times New Roman" w:hAnsi="Times New Roman"/>
          <w:sz w:val="14"/>
          <w:szCs w:val="14"/>
          <w:color w:val="auto"/>
        </w:rPr>
        <w:t>” means a certificate signed on behalf of Parent or an Issuer by an Officer of Parent or an Issuer or on behalf of any other Person, as the case may be, that meets the requirements set forth in the Indenture.</w:t>
      </w:r>
    </w:p>
    <w:p>
      <w:pPr>
        <w:spacing w:after="0" w:line="13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Parent</w:t>
      </w:r>
      <w:r>
        <w:rPr>
          <w:rFonts w:ascii="Times New Roman" w:cs="Times New Roman" w:eastAsia="Times New Roman" w:hAnsi="Times New Roman"/>
          <w:sz w:val="14"/>
          <w:szCs w:val="14"/>
          <w:color w:val="auto"/>
        </w:rPr>
        <w:t>” means Dell Technologies Inc., a Delaware corporation, and any successor entity, as permitted by the Indenture.</w:t>
      </w:r>
    </w:p>
    <w:p>
      <w:pPr>
        <w:spacing w:after="0" w:line="166" w:lineRule="exact"/>
        <w:rPr>
          <w:sz w:val="20"/>
          <w:szCs w:val="20"/>
          <w:color w:val="auto"/>
        </w:rPr>
      </w:pPr>
    </w:p>
    <w:p>
      <w:pPr>
        <w:ind w:left="1480" w:right="39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Parent Entity</w:t>
      </w:r>
      <w:r>
        <w:rPr>
          <w:rFonts w:ascii="Times New Roman" w:cs="Times New Roman" w:eastAsia="Times New Roman" w:hAnsi="Times New Roman"/>
          <w:sz w:val="14"/>
          <w:szCs w:val="14"/>
          <w:color w:val="auto"/>
        </w:rPr>
        <w:t>” means any Person that, with respect to another Person, owns more than 50% of the total voting power of the Voting Stock entitled to vote for the election of directors of such other Person having a majority of the aggregate votes on the Board of such other Person.</w:t>
      </w:r>
    </w:p>
    <w:p>
      <w:pPr>
        <w:spacing w:after="0" w:line="132" w:lineRule="exact"/>
        <w:rPr>
          <w:sz w:val="20"/>
          <w:szCs w:val="20"/>
          <w:color w:val="auto"/>
        </w:rPr>
      </w:pPr>
    </w:p>
    <w:p>
      <w:pPr>
        <w:ind w:left="1480" w:right="419" w:firstLine="333"/>
        <w:spacing w:after="0" w:line="28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Permitted Holders</w:t>
      </w:r>
      <w:r>
        <w:rPr>
          <w:rFonts w:ascii="Times New Roman" w:cs="Times New Roman" w:eastAsia="Times New Roman" w:hAnsi="Times New Roman"/>
          <w:sz w:val="12"/>
          <w:szCs w:val="12"/>
          <w:color w:val="auto"/>
        </w:rPr>
        <w:t xml:space="preserve">” means (1) each of the Investors and members of management of Parent and its Subsidiaries who are holders of Equity Interests of Parent on the Issue Date and any group (within the meaning of Section 13(d)(3) or Section 14(d)(2) of the Exchange Act) of which any of the foregoing or any Permitted Holder specified in the last sentence of this definition are members and any member of such group;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Parent held by such group, (2) any Permitted Parent and (3) any Permitted Plan. Any Person or group (within the meaning of Section 13(d)(3) or Section 14(d)</w:t>
      </w:r>
    </w:p>
    <w:p>
      <w:pPr>
        <w:spacing w:after="0" w:line="3" w:lineRule="exact"/>
        <w:rPr>
          <w:sz w:val="20"/>
          <w:szCs w:val="20"/>
          <w:color w:val="auto"/>
        </w:rPr>
      </w:pPr>
    </w:p>
    <w:p>
      <w:pPr>
        <w:ind w:left="1480" w:right="399" w:hanging="3"/>
        <w:spacing w:after="0" w:line="245" w:lineRule="auto"/>
        <w:tabs>
          <w:tab w:leader="none" w:pos="167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Exchange Act) whose acquisition of beneficial ownership or assets or properties of Parent constitutes a Change of Control Triggering Event in respect of which a Change of Control Offer is made in accordance with the requirements of the Indenture will thereafter, together with its Affiliates, constitute an additional Permitted Holder.</w:t>
      </w:r>
    </w:p>
    <w:p>
      <w:pPr>
        <w:spacing w:after="0" w:line="14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Permitted Liens</w:t>
      </w:r>
      <w:r>
        <w:rPr>
          <w:rFonts w:ascii="Times New Roman" w:cs="Times New Roman" w:eastAsia="Times New Roman" w:hAnsi="Times New Roman"/>
          <w:sz w:val="14"/>
          <w:szCs w:val="14"/>
          <w:color w:val="auto"/>
        </w:rPr>
        <w:t>” means:</w:t>
      </w:r>
    </w:p>
    <w:p>
      <w:pPr>
        <w:spacing w:after="0" w:line="96" w:lineRule="exact"/>
        <w:rPr>
          <w:sz w:val="20"/>
          <w:szCs w:val="20"/>
          <w:color w:val="auto"/>
        </w:rPr>
      </w:pPr>
    </w:p>
    <w:p>
      <w:pPr>
        <w:ind w:left="2220" w:hanging="416"/>
        <w:spacing w:after="0"/>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effect as of the Issue Date;</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Obligations in respect of Notes outstanding on the Issue Date;</w:t>
      </w:r>
    </w:p>
    <w:p>
      <w:pPr>
        <w:spacing w:after="0" w:line="94" w:lineRule="exact"/>
        <w:rPr>
          <w:rFonts w:ascii="Times New Roman" w:cs="Times New Roman" w:eastAsia="Times New Roman" w:hAnsi="Times New Roman"/>
          <w:sz w:val="14"/>
          <w:szCs w:val="14"/>
          <w:color w:val="auto"/>
        </w:rPr>
      </w:pPr>
    </w:p>
    <w:p>
      <w:pPr>
        <w:ind w:left="2220" w:right="419" w:hanging="416"/>
        <w:spacing w:after="0" w:line="25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property at the time of its acquisition (by a merger, consolidation or amalgamation or otherwise) or existing on the property or shares of stock or other assets of any Person at the time such Person becomes a Subsidiary (whether or not such existing Liens thereon were given to secure the payment of all or any part of the purchase price thereof);</w:t>
      </w:r>
    </w:p>
    <w:p>
      <w:pPr>
        <w:spacing w:after="0" w:line="70" w:lineRule="exact"/>
        <w:rPr>
          <w:rFonts w:ascii="Times New Roman" w:cs="Times New Roman" w:eastAsia="Times New Roman" w:hAnsi="Times New Roman"/>
          <w:sz w:val="14"/>
          <w:szCs w:val="14"/>
          <w:color w:val="auto"/>
        </w:rPr>
      </w:pPr>
    </w:p>
    <w:p>
      <w:pPr>
        <w:ind w:left="2220" w:right="399" w:hanging="416"/>
        <w:spacing w:after="0" w:line="247"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goods the purchase price of which is financed by a documentary letter of credit issued for the account of Parent or any of its Subsidiaries or Liens on bills of lading, drafts or other documents of title arising by operation of law or pursuant to the standard terms of agreements relating to letters of credit, bank guarantees and other similar instruments and specific items of inventory or other goods and proceeds of Parent or any of its Subsidiaries securing Parent’s or such Subsidiary’s accounts payable or similar trade obligations in respect of bankers’ acceptances or documentary or trade letters of credit issued or created for the account of Parent or such Subsidiary to facilitate the purchase, shipment or storage of such inventory or other goods;</w:t>
      </w:r>
    </w:p>
    <w:p>
      <w:pPr>
        <w:spacing w:after="0" w:line="78" w:lineRule="exact"/>
        <w:rPr>
          <w:rFonts w:ascii="Times New Roman" w:cs="Times New Roman" w:eastAsia="Times New Roman" w:hAnsi="Times New Roman"/>
          <w:sz w:val="14"/>
          <w:szCs w:val="14"/>
          <w:color w:val="auto"/>
        </w:rPr>
      </w:pPr>
    </w:p>
    <w:p>
      <w:pPr>
        <w:ind w:left="2220" w:right="479" w:hanging="416"/>
        <w:spacing w:after="0" w:line="26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rights of set-off, banker’s liens, netting agreements and other Liens arising by operation of law or by the terms of documents of banks or other financial institutions in relation to the maintenance of</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7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619"/>
        <w:spacing w:after="0" w:line="254" w:lineRule="auto"/>
        <w:rPr>
          <w:sz w:val="20"/>
          <w:szCs w:val="20"/>
          <w:color w:val="auto"/>
        </w:rPr>
      </w:pPr>
      <w:r>
        <w:rPr>
          <w:rFonts w:ascii="Times New Roman" w:cs="Times New Roman" w:eastAsia="Times New Roman" w:hAnsi="Times New Roman"/>
          <w:sz w:val="14"/>
          <w:szCs w:val="14"/>
          <w:color w:val="auto"/>
        </w:rPr>
        <w:t>administration of deposit accounts, securities accounts, cash management arrangements or in connection with the issuance of letters of credit, bank guarantees or other similar instruments, (b) Liens securing obligations under letters of credit or (c) Liens securing, or otherwise arising from, judgements;</w:t>
      </w:r>
    </w:p>
    <w:p>
      <w:pPr>
        <w:spacing w:after="0" w:line="71" w:lineRule="exact"/>
        <w:rPr>
          <w:sz w:val="20"/>
          <w:szCs w:val="20"/>
          <w:color w:val="auto"/>
        </w:rPr>
      </w:pPr>
    </w:p>
    <w:p>
      <w:pPr>
        <w:ind w:left="2220" w:right="519" w:hanging="416"/>
        <w:spacing w:after="0" w:line="264"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from Uniform Commercial Code financing statements, including precautionary financing statements, or any similar filings made in respect of Non-Financing Leases or consignments entered into by Parent or any of its Subsidiaries;</w:t>
      </w:r>
    </w:p>
    <w:p>
      <w:pPr>
        <w:spacing w:after="0" w:line="6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Hedging Obligations;</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property or assets used to defease or to irrevocably satisfy and discharge indebtedness;</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created in connection with a project financed with, and created to secure, a Nonrecourse Obligation;</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relating to future escrow arrangements securing Indebtedness;</w:t>
      </w:r>
    </w:p>
    <w:p>
      <w:pPr>
        <w:spacing w:after="0" w:line="94" w:lineRule="exact"/>
        <w:rPr>
          <w:rFonts w:ascii="Times New Roman" w:cs="Times New Roman" w:eastAsia="Times New Roman" w:hAnsi="Times New Roman"/>
          <w:sz w:val="14"/>
          <w:szCs w:val="14"/>
          <w:color w:val="auto"/>
        </w:rPr>
      </w:pPr>
    </w:p>
    <w:p>
      <w:pPr>
        <w:ind w:left="2220" w:right="799" w:hanging="416"/>
        <w:spacing w:after="0" w:line="264"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solely on any cash earnest money deposits made by Parent or any of its Subsidiaries in connection with any letter of intent or purchase agreement;</w:t>
      </w:r>
    </w:p>
    <w:p>
      <w:pPr>
        <w:spacing w:after="0" w:line="64" w:lineRule="exact"/>
        <w:rPr>
          <w:rFonts w:ascii="Times New Roman" w:cs="Times New Roman" w:eastAsia="Times New Roman" w:hAnsi="Times New Roman"/>
          <w:sz w:val="14"/>
          <w:szCs w:val="14"/>
          <w:color w:val="auto"/>
        </w:rPr>
      </w:pPr>
    </w:p>
    <w:p>
      <w:pPr>
        <w:ind w:left="2220" w:right="359" w:hanging="416"/>
        <w:spacing w:after="0" w:line="246"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24 months thereafter;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Liens securing indebtedness permitted to be incurred pursuant to this clause (12) 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individual financings of equipment provided by one lender may be cross collateralized to other financings of equipment provided by such lender;</w:t>
      </w:r>
    </w:p>
    <w:p>
      <w:pPr>
        <w:spacing w:after="0" w:line="79"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Parent or any of its Subsidiaries or the Trustee; and</w:t>
      </w:r>
    </w:p>
    <w:p>
      <w:pPr>
        <w:spacing w:after="0" w:line="94" w:lineRule="exact"/>
        <w:rPr>
          <w:rFonts w:ascii="Times New Roman" w:cs="Times New Roman" w:eastAsia="Times New Roman" w:hAnsi="Times New Roman"/>
          <w:sz w:val="14"/>
          <w:szCs w:val="14"/>
          <w:color w:val="auto"/>
        </w:rPr>
      </w:pPr>
    </w:p>
    <w:p>
      <w:pPr>
        <w:ind w:left="2220" w:right="399" w:hanging="416"/>
        <w:spacing w:after="0" w:line="245"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to secure any modification, refinancing, refunding, extension, renewal or replacement (or successive refinancing, refunding, extensions, renewals or replacements) as a whole, or in part, of any indebtedness secured by any Lien referred to in this definition of “Permitted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extension, renewal or replacement);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new Lien shall be limited to all or part of the same property that secured the original Lien (plus accessions, additions and improvements on such property, including after-acquired property that is (a) affixed or incorporated into the property covered by such Lien, (b)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w:t>
      </w:r>
    </w:p>
    <w:p>
      <w:pPr>
        <w:spacing w:after="0" w:line="154"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For purposes of determining compliance with this definition, (i) a Lien need not be incurred solely by reference to one category of Permitted Liens described in this definition but are permitted to be incurred in part under any combination thereof and of any other available exemption and (ii) in the event that a Lien (or any portion thereof) meets the criteria of one or more of the categories of Permitted Liens, the Issuers shall, in their sole discretion, classify or reclassify such Lien (or any portion thereof) in any manner that complies with this definition.</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For purposes of this definition, the term “indebtedness” shall be deemed to include interest on such indebtedness.</w:t>
      </w:r>
    </w:p>
    <w:p>
      <w:pPr>
        <w:spacing w:after="0" w:line="1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7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9" w:lineRule="exact"/>
        <w:rPr>
          <w:sz w:val="20"/>
          <w:szCs w:val="20"/>
          <w:color w:val="auto"/>
        </w:rPr>
      </w:pPr>
    </w:p>
    <w:p>
      <w:pPr>
        <w:ind w:left="1480" w:right="419" w:firstLine="333"/>
        <w:spacing w:after="0" w:line="3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Permitted Parent</w:t>
      </w:r>
      <w:r>
        <w:rPr>
          <w:rFonts w:ascii="Times New Roman" w:cs="Times New Roman" w:eastAsia="Times New Roman" w:hAnsi="Times New Roman"/>
          <w:sz w:val="12"/>
          <w:szCs w:val="12"/>
          <w:color w:val="auto"/>
        </w:rPr>
        <w:t>” means any Parent Entity that at the time it became a Parent Entity of Parent was a Permitted Holder pursuant to clause (1) of the definition thereof and was not formed in connection with, or in contemplation of, a transaction that would otherwise constitute a Change of Control.</w:t>
      </w:r>
    </w:p>
    <w:p>
      <w:pPr>
        <w:spacing w:after="0" w:line="85" w:lineRule="exact"/>
        <w:rPr>
          <w:sz w:val="20"/>
          <w:szCs w:val="20"/>
          <w:color w:val="auto"/>
        </w:rPr>
      </w:pPr>
    </w:p>
    <w:p>
      <w:pPr>
        <w:ind w:left="1480" w:right="71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Permitted Plan</w:t>
      </w:r>
      <w:r>
        <w:rPr>
          <w:rFonts w:ascii="Times New Roman" w:cs="Times New Roman" w:eastAsia="Times New Roman" w:hAnsi="Times New Roman"/>
          <w:sz w:val="14"/>
          <w:szCs w:val="14"/>
          <w:color w:val="auto"/>
        </w:rPr>
        <w:t>” means any employee benefits plan of Parent or its Affiliates and any Person acting in its capacity as trustee, agent or other fiduciary or administrator of any such plan.</w:t>
      </w:r>
    </w:p>
    <w:p>
      <w:pPr>
        <w:spacing w:after="0" w:line="132" w:lineRule="exact"/>
        <w:rPr>
          <w:sz w:val="20"/>
          <w:szCs w:val="20"/>
          <w:color w:val="auto"/>
        </w:rPr>
      </w:pPr>
    </w:p>
    <w:p>
      <w:pPr>
        <w:ind w:left="1480" w:right="89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132" w:lineRule="exact"/>
        <w:rPr>
          <w:sz w:val="20"/>
          <w:szCs w:val="20"/>
          <w:color w:val="auto"/>
        </w:rPr>
      </w:pPr>
    </w:p>
    <w:p>
      <w:pPr>
        <w:ind w:left="1480" w:right="399" w:firstLine="333"/>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Principal Property</w:t>
      </w:r>
      <w:r>
        <w:rPr>
          <w:rFonts w:ascii="Times New Roman" w:cs="Times New Roman" w:eastAsia="Times New Roman" w:hAnsi="Times New Roman"/>
          <w:sz w:val="12"/>
          <w:szCs w:val="12"/>
          <w:color w:val="auto"/>
        </w:rPr>
        <w:t>” means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(a) is owned by the Issuers or any of its Subsidiaries; (b) has not been determined in good faith by the Board of the Issuers not to be materially important to the total business conducted by the Issuers and its Subsidiaries taken as a whole; and</w:t>
      </w:r>
    </w:p>
    <w:p>
      <w:pPr>
        <w:spacing w:after="0" w:line="1" w:lineRule="exact"/>
        <w:rPr>
          <w:sz w:val="20"/>
          <w:szCs w:val="20"/>
          <w:color w:val="auto"/>
        </w:rPr>
      </w:pPr>
    </w:p>
    <w:p>
      <w:pPr>
        <w:ind w:left="1480" w:right="739" w:hanging="3"/>
        <w:spacing w:after="0" w:line="245" w:lineRule="auto"/>
        <w:tabs>
          <w:tab w:leader="none" w:pos="166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 net book value on the date as of which the determination is being made in excess of 1.0 % of Consolidated Net Tangible Assets as most recently determined on or prior to such date (including, for purposes of such calculation, the land, land improvements, buildings and such fixtures comprising such office, plant or facilities, as the case may be).</w:t>
      </w:r>
    </w:p>
    <w:p>
      <w:pPr>
        <w:spacing w:after="0" w:line="147" w:lineRule="exact"/>
        <w:rPr>
          <w:sz w:val="20"/>
          <w:szCs w:val="20"/>
          <w:color w:val="auto"/>
        </w:rPr>
      </w:pPr>
    </w:p>
    <w:p>
      <w:pPr>
        <w:ind w:left="1480" w:right="459" w:firstLine="333"/>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Rating Agency</w:t>
      </w:r>
      <w:r>
        <w:rPr>
          <w:rFonts w:ascii="Times New Roman" w:cs="Times New Roman" w:eastAsia="Times New Roman" w:hAnsi="Times New Roman"/>
          <w:sz w:val="14"/>
          <w:szCs w:val="14"/>
          <w:color w:val="auto"/>
        </w:rPr>
        <w:t>” means (1) S&amp;P, Moody’s and Fitch or (2) if S&amp;P, Moody’s or Fitch or each of them shall not make a corporate rating with respect to the Issuers (or any Guarantor) or a rating on any series of the Notes publicly available, a nationally recognized statistical rating agency or agencies, as the case may be, selected by Parent, which shall be substituted for any or all of S&amp;P, Moody’s or Fitch, as the case may be, with respect to such corporate rating or the rating of such series of Notes, as the case may be.</w:t>
      </w:r>
    </w:p>
    <w:p>
      <w:pPr>
        <w:spacing w:after="0" w:line="144" w:lineRule="exact"/>
        <w:rPr>
          <w:sz w:val="20"/>
          <w:szCs w:val="20"/>
          <w:color w:val="auto"/>
        </w:rPr>
      </w:pPr>
    </w:p>
    <w:p>
      <w:pPr>
        <w:ind w:left="1480" w:right="419" w:firstLine="333"/>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Rating Decline</w:t>
      </w:r>
      <w:r>
        <w:rPr>
          <w:rFonts w:ascii="Times New Roman" w:cs="Times New Roman" w:eastAsia="Times New Roman" w:hAnsi="Times New Roman"/>
          <w:sz w:val="12"/>
          <w:szCs w:val="12"/>
          <w:color w:val="auto"/>
        </w:rPr>
        <w:t xml:space="preserve">” means, with respect to any series of Notes, the occurrence of a decrease in the rating of the Notes of such series by one or more gradations by any two of three Rating Agencies (including gradations within the rating categories, as well as between categories), within 60 days after the earliest of (x) a Change of Control, (y) the date of public notice of the occurrence of a Change of Control and (z) public notice of the intention of Parent to effect a Change of Control (which 60-day period shall be extended so long as the rating of such series of Notes is under publicly announced ratings review for possible downgrade by either of such two Rating Agencies, it being understood that a change in ratings outlook shall not extend such 60-day period);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each of such two Rating Agencies making the reduction in rating to which this definition would otherwise apply announces or publicly confirms or informs the Trustee in writing at Parent’s or its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xml:space="preserve"> that notwithstanding the foregoing, a Ratings Decline shall not be deemed to have occurred so long as such series of Notes has an Investment Grade Rating from at least two of three Rating Agencies.</w:t>
      </w:r>
    </w:p>
    <w:p>
      <w:pPr>
        <w:spacing w:after="0" w:line="290" w:lineRule="exact"/>
        <w:rPr>
          <w:sz w:val="20"/>
          <w:szCs w:val="20"/>
          <w:color w:val="auto"/>
        </w:rPr>
      </w:pPr>
    </w:p>
    <w:p>
      <w:pPr>
        <w:ind w:left="1480" w:right="359" w:firstLine="333"/>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Restricted Subsidiary</w:t>
      </w:r>
      <w:r>
        <w:rPr>
          <w:rFonts w:ascii="Times New Roman" w:cs="Times New Roman" w:eastAsia="Times New Roman" w:hAnsi="Times New Roman"/>
          <w:sz w:val="14"/>
          <w:szCs w:val="14"/>
          <w:color w:val="auto"/>
        </w:rPr>
        <w:t>” means (1) any Subsidiary of an Issuer that (a) is a Wholly-Owned Subsidiary, (b) is a Domestic Subsidiary and (c) directly owns or directly leases any Principal Property and (2) any other Subsidiary that the Board of any Issuer may designate as a Restricted Subsidiary; provided, that “Restricted Subsidiary” shall not include Dell Financial Services L.L.C. or any other Subsidiary that is principally engaged in financing receivables, securitization transactions, factoring or other similar transactions.</w:t>
      </w:r>
    </w:p>
    <w:p>
      <w:pPr>
        <w:spacing w:after="0" w:line="14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S&amp;P</w:t>
      </w:r>
      <w:r>
        <w:rPr>
          <w:rFonts w:ascii="Times New Roman" w:cs="Times New Roman" w:eastAsia="Times New Roman" w:hAnsi="Times New Roman"/>
          <w:sz w:val="14"/>
          <w:szCs w:val="14"/>
          <w:color w:val="auto"/>
        </w:rPr>
        <w:t>” means S&amp;P Global Ratings Inc. and any successor to its rating agency business.</w:t>
      </w:r>
    </w:p>
    <w:p>
      <w:pPr>
        <w:spacing w:after="0" w:line="1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10159"/>
          </w:cols>
          <w:pgMar w:left="300" w:top="37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9"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Sale and Lease-Back Transaction</w:t>
      </w:r>
      <w:r>
        <w:rPr>
          <w:rFonts w:ascii="Times New Roman" w:cs="Times New Roman" w:eastAsia="Times New Roman" w:hAnsi="Times New Roman"/>
          <w:sz w:val="12"/>
          <w:szCs w:val="12"/>
          <w:color w:val="auto"/>
        </w:rPr>
        <w:t>” means any arrangement with any Person providing for the leasing by an Issuer or any of its Restricted Subsidiaries of any Principal Property, which property has been or is to be sold or transferred by such Issuer or such Restricted Subsidiary to such Person, other than (1) any such transaction involving a lease for a term of not more than three years, (2) any such transaction between any Issuer and any Subsidiary of any Issuer or between Subsidiaries of any Issuer, (3) any such transaction executed by the time of or within 365 days after the latest of the acquisition, the completion of construction or improvement or the commencement of commercial operation of such Principal Property or (4) any such transaction entered into before the Issue Date or entered into by a Restricted Subsidiary before the time it became a Restricted Subsidiary.</w:t>
      </w:r>
    </w:p>
    <w:p>
      <w:pPr>
        <w:spacing w:after="0" w:line="11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means, with respect to any Person:</w:t>
      </w:r>
    </w:p>
    <w:p>
      <w:pPr>
        <w:spacing w:after="0" w:line="96" w:lineRule="exact"/>
        <w:rPr>
          <w:sz w:val="20"/>
          <w:szCs w:val="20"/>
          <w:color w:val="auto"/>
        </w:rPr>
      </w:pPr>
    </w:p>
    <w:p>
      <w:pPr>
        <w:ind w:left="2220" w:right="359" w:hanging="416"/>
        <w:spacing w:after="0" w:line="250"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7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joint venture, limited liability company or similar entity of which:</w:t>
      </w:r>
    </w:p>
    <w:p>
      <w:pPr>
        <w:spacing w:after="0" w:line="94" w:lineRule="exact"/>
        <w:rPr>
          <w:rFonts w:ascii="Times New Roman" w:cs="Times New Roman" w:eastAsia="Times New Roman" w:hAnsi="Times New Roman"/>
          <w:sz w:val="14"/>
          <w:szCs w:val="14"/>
          <w:color w:val="auto"/>
        </w:rPr>
      </w:pPr>
    </w:p>
    <w:p>
      <w:pPr>
        <w:ind w:left="2540" w:right="379" w:hanging="317"/>
        <w:spacing w:after="0" w:line="254" w:lineRule="auto"/>
        <w:tabs>
          <w:tab w:leader="none" w:pos="25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than 50%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70" w:lineRule="exact"/>
        <w:rPr>
          <w:rFonts w:ascii="Times New Roman" w:cs="Times New Roman" w:eastAsia="Times New Roman" w:hAnsi="Times New Roman"/>
          <w:sz w:val="14"/>
          <w:szCs w:val="14"/>
          <w:color w:val="auto"/>
        </w:rPr>
      </w:pPr>
    </w:p>
    <w:p>
      <w:pPr>
        <w:ind w:left="2540" w:hanging="317"/>
        <w:spacing w:after="0"/>
        <w:tabs>
          <w:tab w:leader="none" w:pos="25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or any Subsidiary of such Person is a controlling general partner or otherwise controls such entity.</w:t>
      </w:r>
    </w:p>
    <w:p>
      <w:pPr>
        <w:spacing w:after="0" w:line="166" w:lineRule="exact"/>
        <w:rPr>
          <w:sz w:val="20"/>
          <w:szCs w:val="20"/>
          <w:color w:val="auto"/>
        </w:rPr>
      </w:pPr>
    </w:p>
    <w:p>
      <w:pPr>
        <w:ind w:left="1480" w:right="439" w:firstLine="333"/>
        <w:spacing w:after="0" w:line="264" w:lineRule="auto"/>
        <w:rPr>
          <w:sz w:val="20"/>
          <w:szCs w:val="20"/>
          <w:color w:val="auto"/>
        </w:rPr>
      </w:pPr>
      <w:r>
        <w:rPr>
          <w:rFonts w:ascii="Times New Roman" w:cs="Times New Roman" w:eastAsia="Times New Roman" w:hAnsi="Times New Roman"/>
          <w:sz w:val="14"/>
          <w:szCs w:val="14"/>
          <w:color w:val="auto"/>
        </w:rPr>
        <w:t>For the avoidance of doubt, any entity that is owned at a 50% or less level (as described above) shall not be a “Subsidiary” for any purpose under the Indenture, regardless of whether such entity is consolidated on Parent’s or any of its Subsidiaries’ financial statements.</w:t>
      </w:r>
    </w:p>
    <w:p>
      <w:pPr>
        <w:spacing w:after="0" w:line="13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means The Bank of New York Mellon Trust Company, N.A. until a successor replaces it and, thereafter, means the successor.</w:t>
      </w:r>
    </w:p>
    <w:p>
      <w:pPr>
        <w:spacing w:after="0" w:line="166" w:lineRule="exact"/>
        <w:rPr>
          <w:sz w:val="20"/>
          <w:szCs w:val="20"/>
          <w:color w:val="auto"/>
        </w:rPr>
      </w:pPr>
    </w:p>
    <w:p>
      <w:pPr>
        <w:ind w:left="1480" w:right="45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Voting Stock</w:t>
      </w:r>
      <w:r>
        <w:rPr>
          <w:rFonts w:ascii="Times New Roman" w:cs="Times New Roman" w:eastAsia="Times New Roman" w:hAnsi="Times New Roman"/>
          <w:sz w:val="14"/>
          <w:szCs w:val="14"/>
          <w:color w:val="auto"/>
        </w:rPr>
        <w:t>” of any Person as of any date means the Capital Stock of such Person that is at the time entitled to vote in the election of the Board of such Person.</w:t>
      </w:r>
    </w:p>
    <w:p>
      <w:pPr>
        <w:spacing w:after="0" w:line="132" w:lineRule="exact"/>
        <w:rPr>
          <w:sz w:val="20"/>
          <w:szCs w:val="20"/>
          <w:color w:val="auto"/>
        </w:rPr>
      </w:pPr>
    </w:p>
    <w:p>
      <w:pPr>
        <w:ind w:left="1480" w:right="639" w:firstLine="3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Wholly-Owned Subsidiary</w:t>
      </w:r>
      <w:r>
        <w:rPr>
          <w:rFonts w:ascii="Times New Roman" w:cs="Times New Roman" w:eastAsia="Times New Roman" w:hAnsi="Times New Roman"/>
          <w:sz w:val="14"/>
          <w:szCs w:val="14"/>
          <w:color w:val="auto"/>
        </w:rPr>
        <w:t>” of any Person means a Subsidiary of such Person, 100% of the outstanding Equity Interests of which (other than directors’ qualifying shares) shall at the time be owned by such Person or by one or more Wholly-Owned Subsidiaries of such Person.</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10159"/>
          </w:cols>
          <w:pgMar w:left="300" w:top="37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BOOK ENTRY; DELIVERY AND FORM</w:t>
      </w:r>
    </w:p>
    <w:p>
      <w:pPr>
        <w:spacing w:after="0" w:line="170"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The notes will initially be represented by one or more fully registered global notes (“Global Notes”). Each such global note will be deposited with, or on behalf of, The Depository Trust Company (“DTC”) or any successor thereto and registered in the name of Cede &amp; Co. (DTC’s nominee). Except as set forth below, the notes will be issued in registered, global form in minimum denominations of $2,000 and integral multiples of $1,000 in excess of $2,000. Notes will be issued at the closing of the Offering only against payment in immediately available funds.</w:t>
      </w:r>
    </w:p>
    <w:p>
      <w:pPr>
        <w:spacing w:after="0" w:line="146"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Investors may hold interests in a Global Note through DTC in the United States if they are participants in DTC or indirectly hold such interests through organizations that are participants in DTC. Clearstream Banking S.A. (“Clearstream, Luxembourg”) and Euroclear Bank S.A./N.V., as operator of the Euroclear System (“Euroclear”), will hold interests on behalf of their participants through customers’ securities accounts in Clearstream, Luxembourg’s and Euroclear’s name on the books of their respective depositaries, which in turn will hold such interests in customers’ securities accounts in the depositaries’ names on the books of DTC.</w:t>
      </w:r>
    </w:p>
    <w:p>
      <w:pPr>
        <w:spacing w:after="0" w:line="149"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 See “—</w:t>
      </w:r>
      <w:r>
        <w:rPr>
          <w:rFonts w:ascii="Times New Roman" w:cs="Times New Roman" w:eastAsia="Times New Roman" w:hAnsi="Times New Roman"/>
          <w:sz w:val="14"/>
          <w:szCs w:val="14"/>
          <w:i w:val="1"/>
          <w:iCs w:val="1"/>
          <w:color w:val="auto"/>
        </w:rPr>
        <w:t>Exchange of Global</w:t>
      </w:r>
      <w:r>
        <w:rPr>
          <w:rFonts w:ascii="Times New Roman" w:cs="Times New Roman" w:eastAsia="Times New Roman" w:hAnsi="Times New Roman"/>
          <w:sz w:val="14"/>
          <w:szCs w:val="14"/>
          <w:color w:val="auto"/>
        </w:rPr>
        <w:t xml:space="preserve"> Notes </w:t>
      </w:r>
      <w:r>
        <w:rPr>
          <w:rFonts w:ascii="Times New Roman" w:cs="Times New Roman" w:eastAsia="Times New Roman" w:hAnsi="Times New Roman"/>
          <w:sz w:val="14"/>
          <w:szCs w:val="14"/>
          <w:i w:val="1"/>
          <w:iCs w:val="1"/>
          <w:color w:val="auto"/>
        </w:rPr>
        <w:t>for Certificated Notes</w:t>
      </w:r>
      <w:r>
        <w:rPr>
          <w:rFonts w:ascii="Times New Roman" w:cs="Times New Roman" w:eastAsia="Times New Roman" w:hAnsi="Times New Roman"/>
          <w:sz w:val="14"/>
          <w:szCs w:val="14"/>
          <w:color w:val="auto"/>
        </w:rPr>
        <w:t>.” Except in the limited circumstances described below, owners of beneficial interests in the Global Notes will not be entitled to receive physical delivery of notes in certificated form.</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Depository Procedures</w:t>
      </w:r>
    </w:p>
    <w:p>
      <w:pPr>
        <w:spacing w:after="0" w:line="88" w:lineRule="exact"/>
        <w:rPr>
          <w:sz w:val="20"/>
          <w:szCs w:val="20"/>
          <w:color w:val="auto"/>
        </w:rPr>
      </w:pPr>
    </w:p>
    <w:p>
      <w:pPr>
        <w:ind w:left="1480" w:right="399" w:firstLine="333"/>
        <w:spacing w:after="0" w:line="316" w:lineRule="auto"/>
        <w:rPr>
          <w:sz w:val="20"/>
          <w:szCs w:val="20"/>
          <w:color w:val="auto"/>
        </w:rPr>
      </w:pPr>
      <w:r>
        <w:rPr>
          <w:rFonts w:ascii="Times New Roman" w:cs="Times New Roman" w:eastAsia="Times New Roman" w:hAnsi="Times New Roman"/>
          <w:sz w:val="12"/>
          <w:szCs w:val="12"/>
          <w:color w:val="auto"/>
        </w:rPr>
        <w:t>The following description of the operations and procedures of DTC, Euroclear and Clearstream, Luxembourg is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their participants directly to discuss these matters.</w:t>
      </w:r>
    </w:p>
    <w:p>
      <w:pPr>
        <w:spacing w:after="0" w:line="109" w:lineRule="exact"/>
        <w:rPr>
          <w:sz w:val="20"/>
          <w:szCs w:val="20"/>
          <w:color w:val="auto"/>
        </w:rPr>
      </w:pPr>
    </w:p>
    <w:p>
      <w:pPr>
        <w:ind w:left="1480" w:right="359" w:firstLine="333"/>
        <w:spacing w:after="0" w:line="292" w:lineRule="auto"/>
        <w:rPr>
          <w:sz w:val="20"/>
          <w:szCs w:val="20"/>
          <w:color w:val="auto"/>
        </w:rPr>
      </w:pPr>
      <w:r>
        <w:rPr>
          <w:rFonts w:ascii="Times New Roman" w:cs="Times New Roman" w:eastAsia="Times New Roman" w:hAnsi="Times New Roman"/>
          <w:sz w:val="12"/>
          <w:szCs w:val="12"/>
          <w:color w:val="auto"/>
        </w:rPr>
        <w:t>DTC has advised us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28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DTC has also advised us that, pursuant to procedures established by it:</w:t>
      </w:r>
    </w:p>
    <w:p>
      <w:pPr>
        <w:spacing w:after="0" w:line="94" w:lineRule="exact"/>
        <w:rPr>
          <w:sz w:val="20"/>
          <w:szCs w:val="20"/>
          <w:color w:val="auto"/>
        </w:rPr>
      </w:pPr>
    </w:p>
    <w:p>
      <w:pPr>
        <w:ind w:left="2220" w:right="659" w:hanging="334"/>
        <w:spacing w:after="0" w:line="264"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deposit of the Global Notes, DTC will credit the accounts of the Participants designated by the underwriters with portions of the principal amount of the Global Notes; and</w:t>
      </w:r>
    </w:p>
    <w:p>
      <w:pPr>
        <w:spacing w:after="0" w:line="64" w:lineRule="exact"/>
        <w:rPr>
          <w:rFonts w:ascii="Times New Roman" w:cs="Times New Roman" w:eastAsia="Times New Roman" w:hAnsi="Times New Roman"/>
          <w:sz w:val="14"/>
          <w:szCs w:val="14"/>
          <w:color w:val="auto"/>
        </w:rPr>
      </w:pPr>
    </w:p>
    <w:p>
      <w:pPr>
        <w:ind w:left="2220" w:right="499" w:hanging="334"/>
        <w:spacing w:after="0" w:line="254"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10159"/>
          </w:cols>
          <w:pgMar w:left="300" w:top="37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firstLine="333"/>
        <w:spacing w:after="0" w:line="293" w:lineRule="auto"/>
        <w:rPr>
          <w:sz w:val="20"/>
          <w:szCs w:val="20"/>
          <w:color w:val="auto"/>
        </w:rPr>
      </w:pPr>
      <w:r>
        <w:rPr>
          <w:rFonts w:ascii="Times New Roman" w:cs="Times New Roman" w:eastAsia="Times New Roman" w:hAnsi="Times New Roman"/>
          <w:sz w:val="12"/>
          <w:szCs w:val="12"/>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Luxembourg) that are Participants. Citibank, N.A. acts as depositary for Clearstream, Luxembourg, and JPMorgan Chase Bank acts as depositary for Euroclear. All interests in a Global Note, including those held through Euroclear or Clearstream, Luxembourg, may be subject to the procedures and requirements of DTC. Those interests held through Euroclear or Clearstream, Luxembourg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35" w:lineRule="exact"/>
        <w:rPr>
          <w:sz w:val="20"/>
          <w:szCs w:val="20"/>
          <w:color w:val="auto"/>
        </w:rPr>
      </w:pPr>
    </w:p>
    <w:p>
      <w:pPr>
        <w:ind w:left="1480" w:right="379"/>
        <w:spacing w:after="0" w:line="245" w:lineRule="auto"/>
        <w:rPr>
          <w:sz w:val="20"/>
          <w:szCs w:val="20"/>
          <w:color w:val="auto"/>
        </w:rPr>
      </w:pPr>
      <w:r>
        <w:rPr>
          <w:rFonts w:ascii="Times New Roman" w:cs="Times New Roman" w:eastAsia="Times New Roman" w:hAnsi="Times New Roman"/>
          <w:sz w:val="14"/>
          <w:szCs w:val="14"/>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that will govern the notes for any purpose.</w:t>
      </w:r>
    </w:p>
    <w:p>
      <w:pPr>
        <w:spacing w:after="0" w:line="149" w:lineRule="exact"/>
        <w:rPr>
          <w:sz w:val="20"/>
          <w:szCs w:val="20"/>
          <w:color w:val="auto"/>
        </w:rPr>
      </w:pPr>
    </w:p>
    <w:p>
      <w:pPr>
        <w:ind w:left="1480" w:right="359" w:firstLine="333"/>
        <w:spacing w:after="0" w:line="305" w:lineRule="auto"/>
        <w:rPr>
          <w:sz w:val="20"/>
          <w:szCs w:val="20"/>
          <w:color w:val="auto"/>
        </w:rPr>
      </w:pPr>
      <w:r>
        <w:rPr>
          <w:rFonts w:ascii="Times New Roman" w:cs="Times New Roman" w:eastAsia="Times New Roman" w:hAnsi="Times New Roman"/>
          <w:sz w:val="12"/>
          <w:szCs w:val="12"/>
          <w:color w:val="auto"/>
        </w:rPr>
        <w:t>Payments in respect of the principal of, and interest and premium, if any, on a Global Note registered in the name of DTC or its nominee will be payable to DTC in its capacity as the registered holder under the Indenture. Under the terms of the Indenture, we and the trustee thereunder will treat the persons in whose names the notes, including the Global Notes, are registered as the owners of the notes for the purpose of receiving payments and for all other purposes. Consequently, neither we nor any agent of ours or either trustee has or will have any responsibility or liability for:</w:t>
      </w:r>
    </w:p>
    <w:p>
      <w:pPr>
        <w:spacing w:after="0" w:line="44" w:lineRule="exact"/>
        <w:rPr>
          <w:sz w:val="20"/>
          <w:szCs w:val="20"/>
          <w:color w:val="auto"/>
        </w:rPr>
      </w:pPr>
    </w:p>
    <w:p>
      <w:pPr>
        <w:ind w:left="2220" w:right="439" w:hanging="334"/>
        <w:spacing w:after="0" w:line="254" w:lineRule="auto"/>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matter relating to the actions and practices of DTC or any of its Participants or Indirect Participants.</w:t>
      </w:r>
    </w:p>
    <w:p>
      <w:pPr>
        <w:spacing w:after="0" w:line="166"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DTC has advised us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our responsibility or the responsibility of DTC or either trustee. Neither we nor the trustee will be liable for any delay by DTC or any of the Participants or the Indirect Participants in identifying the beneficial owners of the notes, and we and the trustee may conclusively rely on and will be protected in relying on instructions from DTC or its nominee for all purposes.</w:t>
      </w:r>
    </w:p>
    <w:p>
      <w:pPr>
        <w:spacing w:after="0" w:line="150" w:lineRule="exact"/>
        <w:rPr>
          <w:sz w:val="20"/>
          <w:szCs w:val="20"/>
          <w:color w:val="auto"/>
        </w:rPr>
      </w:pPr>
    </w:p>
    <w:p>
      <w:pPr>
        <w:ind w:left="1480" w:right="619" w:firstLine="333"/>
        <w:spacing w:after="0" w:line="349" w:lineRule="auto"/>
        <w:rPr>
          <w:sz w:val="20"/>
          <w:szCs w:val="20"/>
          <w:color w:val="auto"/>
        </w:rPr>
      </w:pPr>
      <w:r>
        <w:rPr>
          <w:rFonts w:ascii="Times New Roman" w:cs="Times New Roman" w:eastAsia="Times New Roman" w:hAnsi="Times New Roman"/>
          <w:sz w:val="12"/>
          <w:szCs w:val="12"/>
          <w:color w:val="auto"/>
        </w:rPr>
        <w:t>Transfers between the Participants will be effected in accordance with DTC’s procedures and will be settled in same-day funds, and transfers between participants in Euroclear and Clearstream, Luxembourg will be effected in accordance with their respective rules and operating procedures.</w:t>
      </w:r>
    </w:p>
    <w:p>
      <w:pPr>
        <w:spacing w:after="0" w:line="89" w:lineRule="exact"/>
        <w:rPr>
          <w:sz w:val="20"/>
          <w:szCs w:val="20"/>
          <w:color w:val="auto"/>
        </w:rPr>
      </w:pPr>
    </w:p>
    <w:p>
      <w:pPr>
        <w:ind w:left="1480" w:right="419" w:firstLine="333"/>
        <w:spacing w:after="0" w:line="250" w:lineRule="auto"/>
        <w:rPr>
          <w:sz w:val="20"/>
          <w:szCs w:val="20"/>
          <w:color w:val="auto"/>
        </w:rPr>
      </w:pPr>
      <w:r>
        <w:rPr>
          <w:rFonts w:ascii="Times New Roman" w:cs="Times New Roman" w:eastAsia="Times New Roman" w:hAnsi="Times New Roman"/>
          <w:sz w:val="14"/>
          <w:szCs w:val="14"/>
          <w:color w:val="auto"/>
        </w:rPr>
        <w:t>Cross-market transfers between the Participants, on the one hand, and Euroclear or Clearstream, Luxembourg participants, on the other hand, will be effected through DTC in accordance with DTC’s rules on behalf of Euroclear or Clearstream, Luxembourg, as the case may be, by its respective depositary. However, such cross-market transactions will require delivery of instructions to Euroclear or Clearstream, Luxembourg, as the case may be, by the counterparty in such system in accordance with the rules and procedures and within the</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10159"/>
          </w:cols>
          <w:pgMar w:left="300" w:top="37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spacing w:after="0" w:line="248" w:lineRule="auto"/>
        <w:rPr>
          <w:sz w:val="20"/>
          <w:szCs w:val="20"/>
          <w:color w:val="auto"/>
        </w:rPr>
      </w:pPr>
      <w:r>
        <w:rPr>
          <w:rFonts w:ascii="Times New Roman" w:cs="Times New Roman" w:eastAsia="Times New Roman" w:hAnsi="Times New Roman"/>
          <w:sz w:val="14"/>
          <w:szCs w:val="14"/>
          <w:color w:val="auto"/>
        </w:rPr>
        <w:t>established deadlines (Brussels time) of such system. Euroclear or Clearstream, Luxembourg,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Luxembourg participants may not deliver instructions directly to the depositories for Euroclear or Clearstream, Luxembourg.</w:t>
      </w:r>
    </w:p>
    <w:p>
      <w:pPr>
        <w:spacing w:after="0" w:line="149" w:lineRule="exact"/>
        <w:rPr>
          <w:sz w:val="20"/>
          <w:szCs w:val="20"/>
          <w:color w:val="auto"/>
        </w:rPr>
      </w:pPr>
    </w:p>
    <w:p>
      <w:pPr>
        <w:ind w:left="1480" w:right="419" w:firstLine="333"/>
        <w:spacing w:after="0" w:line="305" w:lineRule="auto"/>
        <w:rPr>
          <w:sz w:val="20"/>
          <w:szCs w:val="20"/>
          <w:color w:val="auto"/>
        </w:rPr>
      </w:pPr>
      <w:r>
        <w:rPr>
          <w:rFonts w:ascii="Times New Roman" w:cs="Times New Roman" w:eastAsia="Times New Roman" w:hAnsi="Times New Roman"/>
          <w:sz w:val="12"/>
          <w:szCs w:val="12"/>
          <w:color w:val="auto"/>
        </w:rPr>
        <w:t>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any of the notes, DTC reserves the right to exchange the Global Notes in respect of such notes for legended notes in certificated form and to distribute such notes to its Participants.</w:t>
      </w:r>
    </w:p>
    <w:p>
      <w:pPr>
        <w:spacing w:after="0" w:line="116"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Although DTC, Euroclear, and Clearstream, Luxembourg have agreed to the foregoing procedures to facilitate transfers of interests in the Global Notes among participants in DTC, Euroclear, and Clearstream, Luxembourg, they are under no obligation to perform or to continue to perform such procedures, and may discontinue such procedures at any time. Neither we nor the trustee nor any of our or its agents will have any responsibility for the performance by DTC, Euroclear, or Clearstream, Luxembourg or their respective participants or indirect participants of their respective obligations under the rules and procedures governing their operations.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Exchange of Global Notes for Certificated Notes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 Global Note is exchangeable for Certificated Notes if:</w:t>
      </w:r>
    </w:p>
    <w:p>
      <w:pPr>
        <w:spacing w:after="0" w:line="94" w:lineRule="exact"/>
        <w:rPr>
          <w:sz w:val="20"/>
          <w:szCs w:val="20"/>
          <w:color w:val="auto"/>
        </w:rPr>
      </w:pPr>
    </w:p>
    <w:p>
      <w:pPr>
        <w:ind w:left="2220" w:right="539" w:hanging="334"/>
        <w:spacing w:after="0" w:line="264" w:lineRule="auto"/>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(1) notifies us that it is unwilling or unable to continue as depositary for the Global Notes or (2) has ceased to be a clearing agency registered under the Exchange Act and, in either case, we fail to appoint a successor depositary; or</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occurred and is continuing an event of default with respect to such notes.</w:t>
      </w:r>
    </w:p>
    <w:p>
      <w:pPr>
        <w:spacing w:after="0" w:line="166"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Same Day Settlement and Payment</w:t>
      </w:r>
    </w:p>
    <w:p>
      <w:pPr>
        <w:spacing w:after="0" w:line="88"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We will make payments in respect of the notes represented by the Global Notes (including principal, premium, if any, and interest) by wire transfer of immediately available funds to the accounts specified by DTC or its nominee. We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DTC’s Same-Day Funds Settlement System, and any permitted secondary market trading activity in such notes will, therefore, be required by DTC to be settled in immediately available funds. We expect that secondary trading in any Certificated Notes will also be settled in immediately available funds.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10159"/>
          </w:cols>
          <w:pgMar w:left="300" w:top="37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Because of time-zone differences, credits of interests in the Global Notes received in Clearstream, Luxembourg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Luxembourg or Euroclear participants on such business day. Cash received in Clearstream, Luxembourg or Euroclear as a result of sales of interests in the Global Notes by or through a Clearstream, Luxembourg participant or a Euroclear Participant to a DTC Participant will be received with value on the DTC settlement date but will be available in the relevant Clearstream, Luxembourg or Euroclear cash account only as of the business day following settlement in DTC.</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10159"/>
          </w:cols>
          <w:pgMar w:left="300" w:top="37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CERTAIN UNITED STATES FEDERAL INCOME TAX CONSEQUENCES</w:t>
      </w:r>
    </w:p>
    <w:p>
      <w:pPr>
        <w:spacing w:after="0" w:line="88"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The following is a summary of certain United States federal income tax consequences of the purchase, ownership and disposition of the notes as of the date hereof. This summary deals only with notes that are held as capital assets (within the meaning of Section 1221 of the Internal Revenue Code of 1986, as amended (the “Code”)) by persons who purchase the notes for cash upon original issuance at their “issue price” (the first price at which a substantial amount of notes of the applicable series is sold for money to investors, excluding sales to bond houses, brokers or similar persons or organizations acting in the capacity of an underwriter, placement agent or wholesaler).</w:t>
      </w:r>
    </w:p>
    <w:p>
      <w:pPr>
        <w:spacing w:after="0" w:line="149"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This summary does not represent a detailed description of the United States federal income tax consequences applicable to you if you are a person subject to special tax treatment under the United States federal income tax laws, including if you are:</w:t>
      </w:r>
    </w:p>
    <w:p>
      <w:pPr>
        <w:spacing w:after="0" w:line="65" w:lineRule="exact"/>
        <w:rPr>
          <w:sz w:val="20"/>
          <w:szCs w:val="20"/>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dealer in securities or currencies;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institution;</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regulated investment company;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 estate investment trust;</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insurance company;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controlled foreign corporation;</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passive foreign investment company;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holding the notes as part of a hedging, integrated, conversion or constructive sale transaction or a straddle;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trader in securities that has elected the mark-to-market method of accounting for your securities;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liable for alternative minimum tax;</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(as defined below) that holds notes through a non-U.S. broker or other non-U.S. intermediary;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partnership or other pass-through entity (or an investor in such entity) for United States federal income tax purposes;</w:t>
      </w:r>
    </w:p>
    <w:p>
      <w:pPr>
        <w:spacing w:after="0" w:line="94" w:lineRule="exact"/>
        <w:rPr>
          <w:rFonts w:ascii="Times New Roman" w:cs="Times New Roman" w:eastAsia="Times New Roman" w:hAnsi="Times New Roman"/>
          <w:sz w:val="14"/>
          <w:szCs w:val="14"/>
          <w:color w:val="auto"/>
        </w:rPr>
      </w:pPr>
    </w:p>
    <w:p>
      <w:pPr>
        <w:ind w:left="2220" w:right="739" w:hanging="334"/>
        <w:spacing w:after="0" w:line="264" w:lineRule="auto"/>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required to accelerate the recognition of any item of gross income with respect to the notes as a result of such income being recognized on an applicable financial statement;</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(as defined below) whose “functional currency” is not the U.S. dollar; 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expatriate.</w:t>
      </w:r>
    </w:p>
    <w:p>
      <w:pPr>
        <w:spacing w:after="0" w:line="166" w:lineRule="exact"/>
        <w:rPr>
          <w:sz w:val="20"/>
          <w:szCs w:val="20"/>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In addition, this summary does not represent a detailed description of the United States federal income tax consequences applicable to you if you are a holder of our 2026 Notes.</w:t>
      </w:r>
    </w:p>
    <w:p>
      <w:pPr>
        <w:spacing w:after="0" w:line="136"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The discussion below is based upon the provisions of the Code, United States Treasury regulations, administrative rulings and judicial decisions thereunder as of the date hereof. Those authorities may be changed, perhaps retroactively, so as to result in United States federal income tax consequences different from those discussed below. In addition, we have not sought any rulings from the Internal Revenue Service (“IRS”) regarding the matters discussed below, and there can be no assurance that the IRS will not take positions concerning the tax consequences of the purchase, ownership or disposition of the notes that are different from those discussed below.</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S-40</w:t>
      </w:r>
    </w:p>
    <w:p>
      <w:pPr>
        <w:sectPr>
          <w:pgSz w:w="11900" w:h="16838" w:orient="portrait"/>
          <w:cols w:equalWidth="0" w:num="1">
            <w:col w:w="10159"/>
          </w:cols>
          <w:pgMar w:left="300" w:top="37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If any entity classified as a partnership for United States federal income tax purposes holds notes, the tax treatment of a partner will generally depend upon the status of the partner and the activities of the partnership. If you are a partnership or a partner in a partnership considering an investment in the notes, you should consult your tax advisors.</w:t>
      </w:r>
    </w:p>
    <w:p>
      <w:pPr>
        <w:spacing w:after="0" w:line="142" w:lineRule="exact"/>
        <w:rPr>
          <w:sz w:val="20"/>
          <w:szCs w:val="20"/>
          <w:color w:val="auto"/>
        </w:rPr>
      </w:pPr>
    </w:p>
    <w:p>
      <w:pPr>
        <w:ind w:left="1480" w:right="419" w:firstLine="333"/>
        <w:spacing w:after="0" w:line="250" w:lineRule="auto"/>
        <w:rPr>
          <w:sz w:val="20"/>
          <w:szCs w:val="20"/>
          <w:color w:val="auto"/>
        </w:rPr>
      </w:pPr>
      <w:r>
        <w:rPr>
          <w:rFonts w:ascii="Times New Roman" w:cs="Times New Roman" w:eastAsia="Times New Roman" w:hAnsi="Times New Roman"/>
          <w:sz w:val="14"/>
          <w:szCs w:val="14"/>
          <w:color w:val="auto"/>
        </w:rPr>
        <w:t>This summary does not represent a detailed description of the United States federal income tax consequences to you in light of your particular circumstances and does not address the effects of any other United States federal tax laws (such as the Medicare contribution tax on net investment income) or any state, local or non-United States tax laws. It is not intended to be, and should not be construed to be, legal or tax advice to any particular purchaser of notes.</w:t>
      </w:r>
    </w:p>
    <w:p>
      <w:pPr>
        <w:spacing w:after="0" w:line="142" w:lineRule="exact"/>
        <w:rPr>
          <w:sz w:val="20"/>
          <w:szCs w:val="20"/>
          <w:color w:val="auto"/>
        </w:rPr>
      </w:pPr>
    </w:p>
    <w:p>
      <w:pPr>
        <w:ind w:left="1480" w:right="399" w:firstLine="333"/>
        <w:spacing w:after="0" w:line="257" w:lineRule="auto"/>
        <w:rPr>
          <w:sz w:val="20"/>
          <w:szCs w:val="20"/>
          <w:color w:val="auto"/>
        </w:rPr>
      </w:pPr>
      <w:r>
        <w:rPr>
          <w:rFonts w:ascii="Times New Roman" w:cs="Times New Roman" w:eastAsia="Times New Roman" w:hAnsi="Times New Roman"/>
          <w:sz w:val="14"/>
          <w:szCs w:val="14"/>
          <w:b w:val="1"/>
          <w:bCs w:val="1"/>
          <w:color w:val="auto"/>
        </w:rPr>
        <w:t>If you are considering the purchase of notes, you should consult your own tax advisors concerning the particular United States federal income tax consequences to you of the purchase, ownership and disposition of the notes, as well as any consequences to you arising under other United States federal tax laws and the laws of any other taxing jurisdiction.</w:t>
      </w:r>
    </w:p>
    <w:p>
      <w:pPr>
        <w:spacing w:after="0" w:line="2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Consequences to U.S. Holders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following is a summary of certain United States federal income tax consequences that will apply to you if you are a U.S. Holder.</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As used herein, “U.S. Holder” means a beneficial owner of a note that is, for United States federal income tax purposes, any of the following:</w:t>
      </w:r>
    </w:p>
    <w:p>
      <w:pPr>
        <w:spacing w:after="0" w:line="94" w:lineRule="exact"/>
        <w:rPr>
          <w:sz w:val="20"/>
          <w:szCs w:val="20"/>
          <w:color w:val="auto"/>
        </w:rPr>
      </w:pPr>
    </w:p>
    <w:p>
      <w:pPr>
        <w:ind w:left="2220" w:hanging="334"/>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United States federal income taxation regardless of its source; or</w:t>
      </w:r>
    </w:p>
    <w:p>
      <w:pPr>
        <w:spacing w:after="0" w:line="94" w:lineRule="exact"/>
        <w:rPr>
          <w:rFonts w:ascii="Times New Roman" w:cs="Times New Roman" w:eastAsia="Times New Roman" w:hAnsi="Times New Roman"/>
          <w:sz w:val="14"/>
          <w:szCs w:val="14"/>
          <w:color w:val="auto"/>
        </w:rPr>
      </w:pPr>
    </w:p>
    <w:p>
      <w:pPr>
        <w:ind w:left="2220" w:right="659" w:hanging="334"/>
        <w:spacing w:after="0" w:line="254" w:lineRule="auto"/>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it (a) is subject to the primary supervision of a court within the United States and one or more United States persons have the authority to control all substantial decisions of the trust or (b) has a valid election in effect under applicable United States Treasury regulations to be treated as a United States person.</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Payments of Stated Interest</w:t>
      </w:r>
    </w:p>
    <w:p>
      <w:pPr>
        <w:spacing w:after="0" w:line="88" w:lineRule="exact"/>
        <w:rPr>
          <w:sz w:val="20"/>
          <w:szCs w:val="20"/>
          <w:color w:val="auto"/>
        </w:rPr>
      </w:pPr>
    </w:p>
    <w:p>
      <w:pPr>
        <w:jc w:val="both"/>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Stated interest on a note will generally be taxable to you as ordinary income at the time it is paid or accrued, in accordance with your method of accounting for United States federal income tax purposes. We expect, and this summary assumes, that the notes will not be issued with more than a de minimis amount of original issue discount for United States federal income tax purposes.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Sale, Exchange, Retirement, Redemption or Other Taxable Disposition of Notes</w:t>
      </w:r>
    </w:p>
    <w:p>
      <w:pPr>
        <w:spacing w:after="0" w:line="88" w:lineRule="exact"/>
        <w:rPr>
          <w:sz w:val="20"/>
          <w:szCs w:val="20"/>
          <w:color w:val="auto"/>
        </w:rPr>
      </w:pPr>
    </w:p>
    <w:p>
      <w:pPr>
        <w:ind w:left="1480" w:right="419" w:firstLine="333"/>
        <w:spacing w:after="0" w:line="247" w:lineRule="auto"/>
        <w:rPr>
          <w:sz w:val="20"/>
          <w:szCs w:val="20"/>
          <w:color w:val="auto"/>
        </w:rPr>
      </w:pPr>
      <w:r>
        <w:rPr>
          <w:rFonts w:ascii="Times New Roman" w:cs="Times New Roman" w:eastAsia="Times New Roman" w:hAnsi="Times New Roman"/>
          <w:sz w:val="14"/>
          <w:szCs w:val="14"/>
          <w:color w:val="auto"/>
        </w:rPr>
        <w:t>Upon the sale, exchange, retirement, redemption or other taxable disposition of a note, you will generally recognize gain or loss in an amount equal to the difference, if any, between the amount realized upon the sale, exchange, retirement, redemption or other taxable disposition (less any amount attributable to any accrued but unpaid stated interest, which will be taxable as ordinary income for United States federal income tax purposes to the extent not previously included in income) and the adjusted tax basis of the note. Your adjusted tax basis in a note will, in general, be your cost for that note. Any gain or loss will be capital gain or loss and will generally be long-term capital gain or loss if you have held the note for more than one year. Long-term capital gains of non-corporate U.S. Holders are eligible for reduced rates of taxation. The deductibility of capital losses is subject to limitations.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S-41</w:t>
      </w:r>
    </w:p>
    <w:p>
      <w:pPr>
        <w:sectPr>
          <w:pgSz w:w="11900" w:h="16838" w:orient="portrait"/>
          <w:cols w:equalWidth="0" w:num="1">
            <w:col w:w="10159"/>
          </w:cols>
          <w:pgMar w:left="300" w:top="37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88" w:lineRule="exact"/>
        <w:rPr>
          <w:sz w:val="20"/>
          <w:szCs w:val="20"/>
          <w:color w:val="auto"/>
        </w:rPr>
      </w:pPr>
    </w:p>
    <w:p>
      <w:pPr>
        <w:ind w:left="1480" w:right="459" w:firstLine="333"/>
        <w:spacing w:after="0" w:line="250" w:lineRule="auto"/>
        <w:rPr>
          <w:sz w:val="20"/>
          <w:szCs w:val="20"/>
          <w:color w:val="auto"/>
        </w:rPr>
      </w:pPr>
      <w:r>
        <w:rPr>
          <w:rFonts w:ascii="Times New Roman" w:cs="Times New Roman" w:eastAsia="Times New Roman" w:hAnsi="Times New Roman"/>
          <w:sz w:val="14"/>
          <w:szCs w:val="14"/>
          <w:color w:val="auto"/>
        </w:rPr>
        <w:t>In general, information reporting will apply to payments of interest and to the proceeds of a sale or other taxable disposition (including a retirement or redemption) of a note paid to you (unless you are an exempt recipient). Backup withholding may apply to payments described in the preceding sentence if you fail to provide a correct taxpayer identification number or a certification that you are not subject to backup withholding, or if you fail to report in full dividend and interest income.</w:t>
      </w:r>
    </w:p>
    <w:p>
      <w:pPr>
        <w:spacing w:after="0" w:line="146"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your United States federal income tax liability, provided the required information is timely furnished to the IRS.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Consequences to Non-U.S. Holders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following is a summary of certain United States federal income tax consequences that will apply to you if you are a Non-U.S. Holder.</w:t>
      </w:r>
    </w:p>
    <w:p>
      <w:pPr>
        <w:spacing w:after="0" w:line="166"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“Non-U.S. Holder” means a beneficial owner of a note, other than an entity treated as a partnership for United States federal income tax purposes, that is not a U.S. Holder (as defined above).</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United States Federal Withholding Tax</w:t>
      </w:r>
    </w:p>
    <w:p>
      <w:pPr>
        <w:spacing w:after="0" w:line="88"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Subject to the discussion below concerning backup withholding and FATCA, United States federal withholding tax will not apply to any payment of interest on a note under the “portfolio interest” rule, provided that:</w:t>
      </w:r>
    </w:p>
    <w:p>
      <w:pPr>
        <w:spacing w:after="0" w:line="65" w:lineRule="exact"/>
        <w:rPr>
          <w:sz w:val="20"/>
          <w:szCs w:val="20"/>
          <w:color w:val="auto"/>
        </w:rPr>
      </w:pPr>
    </w:p>
    <w:p>
      <w:pPr>
        <w:ind w:left="2220" w:hanging="334"/>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is not effectively connected with your conduct of a trade or business in the United States;</w:t>
      </w:r>
    </w:p>
    <w:p>
      <w:pPr>
        <w:spacing w:after="0" w:line="94" w:lineRule="exact"/>
        <w:rPr>
          <w:rFonts w:ascii="Times New Roman" w:cs="Times New Roman" w:eastAsia="Times New Roman" w:hAnsi="Times New Roman"/>
          <w:sz w:val="14"/>
          <w:szCs w:val="14"/>
          <w:color w:val="auto"/>
        </w:rPr>
      </w:pPr>
    </w:p>
    <w:p>
      <w:pPr>
        <w:ind w:left="2220" w:right="579" w:hanging="334"/>
        <w:spacing w:after="0" w:line="264" w:lineRule="auto"/>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actually or constructively own stock possessing 10% or more of the total combined voting power of all classes of the voting stock (within the meaning of the Code and applicable United States Treasury regulations) of Dell Inc. or EMC Corporation;</w:t>
      </w:r>
    </w:p>
    <w:p>
      <w:pPr>
        <w:spacing w:after="0" w:line="64" w:lineRule="exact"/>
        <w:rPr>
          <w:rFonts w:ascii="Times New Roman" w:cs="Times New Roman" w:eastAsia="Times New Roman" w:hAnsi="Times New Roman"/>
          <w:sz w:val="14"/>
          <w:szCs w:val="14"/>
          <w:color w:val="auto"/>
        </w:rPr>
      </w:pPr>
    </w:p>
    <w:p>
      <w:pPr>
        <w:ind w:left="2220" w:right="779" w:hanging="334"/>
        <w:spacing w:after="0" w:line="264" w:lineRule="auto"/>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controlled foreign corporation that is actually or constructively related to Dell Inc. or EMC Corporation through stock ownership;</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bank whose receipt of interest on a note is described in Section 881(c)(3)(A) of the Code; and</w:t>
      </w:r>
    </w:p>
    <w:p>
      <w:pPr>
        <w:spacing w:after="0" w:line="94" w:lineRule="exact"/>
        <w:rPr>
          <w:rFonts w:ascii="Times New Roman" w:cs="Times New Roman" w:eastAsia="Times New Roman" w:hAnsi="Times New Roman"/>
          <w:sz w:val="14"/>
          <w:szCs w:val="14"/>
          <w:color w:val="auto"/>
        </w:rPr>
      </w:pPr>
    </w:p>
    <w:p>
      <w:pPr>
        <w:ind w:left="2220" w:right="519" w:hanging="334"/>
        <w:spacing w:after="0" w:line="250" w:lineRule="auto"/>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 you provide your name and address on an applicable IRS Form W-8 (or other applicable form), and certify, under penalties of perjury, that you are not a United States person as defined under the Code or (b) you hold the note through certain foreign intermediaries and satisfy the certification requirements of applicable United States Treasury regulations. Special certification rules apply to Non-U.S. Holders that are pass-through entities rather than corporations or individuals.</w:t>
      </w:r>
    </w:p>
    <w:p>
      <w:pPr>
        <w:spacing w:after="0" w:line="146" w:lineRule="exact"/>
        <w:rPr>
          <w:sz w:val="20"/>
          <w:szCs w:val="20"/>
          <w:color w:val="auto"/>
        </w:rPr>
      </w:pPr>
    </w:p>
    <w:p>
      <w:pPr>
        <w:ind w:left="1480" w:right="459" w:firstLine="333"/>
        <w:spacing w:after="0" w:line="291" w:lineRule="auto"/>
        <w:rPr>
          <w:sz w:val="20"/>
          <w:szCs w:val="20"/>
          <w:color w:val="auto"/>
        </w:rPr>
      </w:pPr>
      <w:r>
        <w:rPr>
          <w:rFonts w:ascii="Times New Roman" w:cs="Times New Roman" w:eastAsia="Times New Roman" w:hAnsi="Times New Roman"/>
          <w:sz w:val="12"/>
          <w:szCs w:val="12"/>
          <w:color w:val="auto"/>
        </w:rPr>
        <w:t>If you cannot satisfy the requirements of the “portfolio interest” exception described above, payments of interest made to you will be subject to a 30% United States federal withholding tax, unless you provide the applicable withholding agent with a properly executed (a) IRS Form W-8BEN or W-8BEN-E (or other applicable form) claiming an exemption from or reduction in withholding under the benefit of an applicable income tax treaty or</w:t>
      </w:r>
    </w:p>
    <w:p>
      <w:pPr>
        <w:ind w:left="1480" w:right="359" w:hanging="3"/>
        <w:spacing w:after="0" w:line="244" w:lineRule="auto"/>
        <w:tabs>
          <w:tab w:leader="none" w:pos="1673"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IRS Form W-8ECI (or other applicable form) stating that interest paid on the note is not subject to withholding tax because it is effectively connected with your conduct of a trade or business in the United States (as discussed below under “—United States Federal Income Tax”). Alternative documentation may be applicable in certain situations. The 30% United States federal withholding tax generally will not apply to any payment of principal or gain that you recognize on the sale, exchange, retirement, redemption or other disposition of a note.</w:t>
      </w:r>
    </w:p>
    <w:p>
      <w:pPr>
        <w:spacing w:after="0" w:line="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S-42</w:t>
      </w:r>
    </w:p>
    <w:p>
      <w:pPr>
        <w:sectPr>
          <w:pgSz w:w="11900" w:h="16838" w:orient="portrait"/>
          <w:cols w:equalWidth="0" w:num="1">
            <w:col w:w="10159"/>
          </w:cols>
          <w:pgMar w:left="300" w:top="37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United States Federal Income Tax</w:t>
      </w:r>
    </w:p>
    <w:p>
      <w:pPr>
        <w:spacing w:after="0" w:line="88"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If interest on the notes is effectively connected with your conduct of a trade or business in the United States (and, if required by an applicable income tax treaty, is attributable to a United States permanent establishment), you generally will be subject to United States federal income tax on such interest on a net income basis in generally the same manner as if you were a United States person as defined under the Code. In addition, if you are a corporation, you may be subject to a branch profits tax equal to 30% (or a lower rate under an applicable income tax treaty) of your effectively connected earnings and profits attributable to such interest, subject to adjustments. Interest received in respect of the notes that is effectively connected with a U.S. trade or business (whether or not an income tax treaty applies) will be exempt from the 30% United States federal withholding tax, provided the certification requirements discussed above in “—United States Federal Withholding Tax” are satisfied.</w:t>
      </w:r>
    </w:p>
    <w:p>
      <w:pPr>
        <w:spacing w:after="0" w:line="147" w:lineRule="exact"/>
        <w:rPr>
          <w:sz w:val="20"/>
          <w:szCs w:val="20"/>
          <w:color w:val="auto"/>
        </w:rPr>
      </w:pPr>
    </w:p>
    <w:p>
      <w:pPr>
        <w:ind w:left="1480" w:right="819" w:firstLine="333"/>
        <w:spacing w:after="0" w:line="264" w:lineRule="auto"/>
        <w:rPr>
          <w:sz w:val="20"/>
          <w:szCs w:val="20"/>
          <w:color w:val="auto"/>
        </w:rPr>
      </w:pPr>
      <w:r>
        <w:rPr>
          <w:rFonts w:ascii="Times New Roman" w:cs="Times New Roman" w:eastAsia="Times New Roman" w:hAnsi="Times New Roman"/>
          <w:sz w:val="14"/>
          <w:szCs w:val="14"/>
          <w:color w:val="auto"/>
        </w:rPr>
        <w:t>Subject to the discussion of backup withholding below, any gain recognized on the sale, exchange, retirement, redemption or other taxable disposition of a note generally will not be subject to United States federal income tax unless:</w:t>
      </w:r>
    </w:p>
    <w:p>
      <w:pPr>
        <w:spacing w:after="0" w:line="65" w:lineRule="exact"/>
        <w:rPr>
          <w:sz w:val="20"/>
          <w:szCs w:val="20"/>
          <w:color w:val="auto"/>
        </w:rPr>
      </w:pPr>
    </w:p>
    <w:p>
      <w:pPr>
        <w:ind w:left="2220" w:right="359" w:hanging="334"/>
        <w:spacing w:after="0" w:line="250"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your conduct of a trade or business in the United States (and, if required by an applicable income tax treaty, is attributable to a United States permanent establishment), in which case such gain generally will be subject to United States federal income tax (and possibly branch profits tax) in generally the same manner as effectively connected interest income is taxed as described above; or</w:t>
      </w:r>
    </w:p>
    <w:p>
      <w:pPr>
        <w:spacing w:after="0" w:line="74" w:lineRule="exact"/>
        <w:rPr>
          <w:rFonts w:ascii="Times New Roman" w:cs="Times New Roman" w:eastAsia="Times New Roman" w:hAnsi="Times New Roman"/>
          <w:sz w:val="14"/>
          <w:szCs w:val="14"/>
          <w:color w:val="auto"/>
        </w:rPr>
      </w:pPr>
    </w:p>
    <w:p>
      <w:pPr>
        <w:ind w:left="2220" w:right="619" w:hanging="334"/>
        <w:spacing w:after="0" w:line="316" w:lineRule="auto"/>
        <w:tabs>
          <w:tab w:leader="none" w:pos="22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an individual who is present in the United States for 183 days or more in the taxable year of such disposition, and certain other conditions are met, in which case you will be subject to a 30% United States federal income tax on any gain recognized (except as otherwise provided by an applicable income tax treaty), which may be offset by certain United States-source capital losses.</w:t>
      </w:r>
    </w:p>
    <w:p>
      <w:pPr>
        <w:spacing w:after="0" w:line="1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88"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Information reporting to the IRS will generally apply to payments of interest made to you and the amount of tax, if any, withheld with respect to such payments. Copies of the information returns reporting such interest payments and any withholding may also be made available to the tax authorities in the country in which you reside under the provisions of an applicable income tax treaty.</w:t>
      </w:r>
    </w:p>
    <w:p>
      <w:pPr>
        <w:spacing w:after="0" w:line="142" w:lineRule="exact"/>
        <w:rPr>
          <w:sz w:val="20"/>
          <w:szCs w:val="20"/>
          <w:color w:val="auto"/>
        </w:rPr>
      </w:pPr>
    </w:p>
    <w:p>
      <w:pPr>
        <w:ind w:left="1480" w:right="579" w:firstLine="333"/>
        <w:spacing w:after="0" w:line="254" w:lineRule="auto"/>
        <w:rPr>
          <w:sz w:val="20"/>
          <w:szCs w:val="20"/>
          <w:color w:val="auto"/>
        </w:rPr>
      </w:pPr>
      <w:r>
        <w:rPr>
          <w:rFonts w:ascii="Times New Roman" w:cs="Times New Roman" w:eastAsia="Times New Roman" w:hAnsi="Times New Roman"/>
          <w:sz w:val="14"/>
          <w:szCs w:val="14"/>
          <w:color w:val="auto"/>
        </w:rPr>
        <w:t>In general, you will not be subject to backup withholding with respect to payments of interest on the notes provided that the applicable withholding agent has received from you the required certification that you are a Non-U.S. Holder described above in the fifth bullet point under “— Consequences to Non-U.S. Holders—United States Federal Withholding Tax,” or you otherwise establish an exemption.</w:t>
      </w:r>
    </w:p>
    <w:p>
      <w:pPr>
        <w:spacing w:after="0" w:line="142" w:lineRule="exact"/>
        <w:rPr>
          <w:sz w:val="20"/>
          <w:szCs w:val="20"/>
          <w:color w:val="auto"/>
        </w:rPr>
      </w:pPr>
    </w:p>
    <w:p>
      <w:pPr>
        <w:ind w:left="1480" w:right="459" w:firstLine="333"/>
        <w:spacing w:after="0" w:line="250" w:lineRule="auto"/>
        <w:rPr>
          <w:sz w:val="20"/>
          <w:szCs w:val="20"/>
          <w:color w:val="auto"/>
        </w:rPr>
      </w:pPr>
      <w:r>
        <w:rPr>
          <w:rFonts w:ascii="Times New Roman" w:cs="Times New Roman" w:eastAsia="Times New Roman" w:hAnsi="Times New Roman"/>
          <w:sz w:val="14"/>
          <w:szCs w:val="14"/>
          <w:color w:val="auto"/>
        </w:rPr>
        <w:t>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you certify under penalties of perjury that you are a Non-U.S. Holder (and the payor does not have actual knowledge or reason to know that you are a United States person as defined under the Code), or you otherwise establish an exemption.</w:t>
      </w:r>
    </w:p>
    <w:p>
      <w:pPr>
        <w:spacing w:after="0" w:line="146"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your United States federal income tax liability, provided the required information is timely furnished to the IRS.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Additional Withholding Requirements</w:t>
      </w:r>
    </w:p>
    <w:p>
      <w:pPr>
        <w:spacing w:after="0" w:line="88" w:lineRule="exact"/>
        <w:rPr>
          <w:sz w:val="20"/>
          <w:szCs w:val="20"/>
          <w:color w:val="auto"/>
        </w:rPr>
      </w:pPr>
    </w:p>
    <w:p>
      <w:pPr>
        <w:ind w:left="1480" w:right="479" w:firstLine="333"/>
        <w:spacing w:after="0" w:line="264" w:lineRule="auto"/>
        <w:rPr>
          <w:sz w:val="20"/>
          <w:szCs w:val="20"/>
          <w:color w:val="auto"/>
        </w:rPr>
      </w:pPr>
      <w:r>
        <w:rPr>
          <w:rFonts w:ascii="Times New Roman" w:cs="Times New Roman" w:eastAsia="Times New Roman" w:hAnsi="Times New Roman"/>
          <w:sz w:val="14"/>
          <w:szCs w:val="14"/>
          <w:color w:val="auto"/>
        </w:rPr>
        <w:t>Under Sections 1471 through 1474 of the Code (such Sections commonly referred to as “FATCA”), a 30% United States federal withholding tax may apply to any interest income paid on the notes to (i) a “foreign</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S-43</w:t>
      </w:r>
    </w:p>
    <w:p>
      <w:pPr>
        <w:sectPr>
          <w:pgSz w:w="11900" w:h="16838" w:orient="portrait"/>
          <w:cols w:equalWidth="0" w:num="1">
            <w:col w:w="10159"/>
          </w:cols>
          <w:pgMar w:left="300" w:top="37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45" w:lineRule="auto"/>
        <w:rPr>
          <w:sz w:val="20"/>
          <w:szCs w:val="20"/>
          <w:color w:val="auto"/>
        </w:rPr>
      </w:pPr>
      <w:r>
        <w:rPr>
          <w:rFonts w:ascii="Times New Roman" w:cs="Times New Roman" w:eastAsia="Times New Roman" w:hAnsi="Times New Roman"/>
          <w:sz w:val="14"/>
          <w:szCs w:val="14"/>
          <w:color w:val="auto"/>
        </w:rPr>
        <w:t>financial institution” (as specifically defined in the Code) that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that avoids withholding, or (ii) a “non-financial foreign entity” (as specifically defined in the Code) that does not provide sufficient documentation, typically on IRS Form W-8BEN-E, evidencing either (x) an exemption from FATCA, or (y) adequate information regarding certain substantial United States beneficial owners of such entity (if any). These rules generally apply regardless of whether the foreign financial institution or non-financial foreign entity is the beneficial owner of the notes or an intermediary. If an interest payment is both subject to withholding under FATCA and subject to the withholding tax discussed above under “—Consequences to Non-U.S. Holders —United States Federal Withholding Tax,” the withholding under FATCA may be credited against, and therefore reduce, such other withholding tax. While withholding under FATCA would also have applied to payments of gross proceeds from the sale or other taxable disposition of the notes, proposed United States Treasury regulations, upon which taxpayers may rely until final regulations are issued, eliminate FATCA withholding on payments of gross proceeds. You should consult your own tax advisors regarding these rules and whether they may be relevant to your ownership and disposition of the notes.</w:t>
      </w:r>
    </w:p>
    <w:p>
      <w:pPr>
        <w:spacing w:after="0" w:line="1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S-44</w:t>
      </w:r>
    </w:p>
    <w:p>
      <w:pPr>
        <w:sectPr>
          <w:pgSz w:w="11900" w:h="16838" w:orient="portrait"/>
          <w:cols w:equalWidth="0" w:num="1">
            <w:col w:w="10159"/>
          </w:cols>
          <w:pgMar w:left="300" w:top="37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CERTAIN ERISA CONSIDERATIONS</w:t>
      </w:r>
    </w:p>
    <w:p>
      <w:pPr>
        <w:spacing w:after="0" w:line="168" w:lineRule="exact"/>
        <w:rPr>
          <w:sz w:val="20"/>
          <w:szCs w:val="20"/>
          <w:color w:val="auto"/>
        </w:rPr>
      </w:pPr>
    </w:p>
    <w:p>
      <w:pPr>
        <w:ind w:left="1480" w:right="699" w:firstLine="333"/>
        <w:spacing w:after="0" w:line="296" w:lineRule="auto"/>
        <w:rPr>
          <w:sz w:val="20"/>
          <w:szCs w:val="20"/>
          <w:color w:val="auto"/>
        </w:rPr>
      </w:pPr>
      <w:r>
        <w:rPr>
          <w:rFonts w:ascii="Times New Roman" w:cs="Times New Roman" w:eastAsia="Times New Roman" w:hAnsi="Times New Roman"/>
          <w:sz w:val="12"/>
          <w:szCs w:val="12"/>
          <w:i w:val="1"/>
          <w:iCs w:val="1"/>
          <w:color w:val="auto"/>
        </w:rPr>
        <w:t>The following is a summary of certain considerations associated with the purchase of the notes by (i) “employee benefit plans” within the meaning of Section 3(3) of the U.S. Employee Retirement Income Security Act of 1974, as amended (“ERISA”) that are subject to Title I of ERISA,</w:t>
      </w:r>
    </w:p>
    <w:p>
      <w:pPr>
        <w:ind w:left="1480" w:right="359" w:hanging="3"/>
        <w:spacing w:after="0" w:line="244" w:lineRule="auto"/>
        <w:tabs>
          <w:tab w:leader="none" w:pos="168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plans, individual retirement accounts and other arrangements that are subject to Section 4975 of the Code or provisions under any federal, state, local, non-U.S. or other laws or regulations that are similar to the fiduciary responsibility and/or prohibited transaction provisions of Title I of ERISA or Section 4975 of the Code (collectively, “Similar Laws”), and (iii) entities whose underlying assets are considered to include the assets of any of the foregoing described in clauses (i) or (ii) pursuant to ERISA or other applicable law (each of the foregoing described in clauses (i), (ii) and (iii) referred to as a “Plan”).</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 Fiduciary Matters</w:t>
      </w:r>
    </w:p>
    <w:p>
      <w:pPr>
        <w:spacing w:after="0" w:line="88"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any authority or control over the management or disposition of the assets of a Covered Plan, or who renders investment advice for a fee or other compensation to such a Covered Plan, is generally considered to be a fiduciary of the Covered Plan.</w:t>
      </w:r>
    </w:p>
    <w:p>
      <w:pPr>
        <w:spacing w:after="0" w:line="149" w:lineRule="exact"/>
        <w:rPr>
          <w:sz w:val="20"/>
          <w:szCs w:val="20"/>
          <w:color w:val="auto"/>
        </w:rPr>
      </w:pPr>
    </w:p>
    <w:p>
      <w:pPr>
        <w:ind w:left="1480" w:right="479" w:firstLine="333"/>
        <w:spacing w:after="0" w:line="250" w:lineRule="auto"/>
        <w:rPr>
          <w:sz w:val="20"/>
          <w:szCs w:val="20"/>
          <w:color w:val="auto"/>
        </w:rPr>
      </w:pPr>
      <w:r>
        <w:rPr>
          <w:rFonts w:ascii="Times New Roman" w:cs="Times New Roman" w:eastAsia="Times New Roman" w:hAnsi="Times New Roman"/>
          <w:sz w:val="14"/>
          <w:szCs w:val="14"/>
          <w:color w:val="auto"/>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w:t>
      </w:r>
    </w:p>
    <w:p>
      <w:pPr>
        <w:spacing w:after="0" w:line="146" w:lineRule="exact"/>
        <w:rPr>
          <w:sz w:val="20"/>
          <w:szCs w:val="20"/>
          <w:color w:val="auto"/>
        </w:rPr>
      </w:pPr>
    </w:p>
    <w:p>
      <w:pPr>
        <w:ind w:left="1480" w:right="519" w:firstLine="333"/>
        <w:spacing w:after="0" w:line="316" w:lineRule="auto"/>
        <w:rPr>
          <w:sz w:val="20"/>
          <w:szCs w:val="20"/>
          <w:color w:val="auto"/>
        </w:rPr>
      </w:pPr>
      <w:r>
        <w:rPr>
          <w:rFonts w:ascii="Times New Roman" w:cs="Times New Roman" w:eastAsia="Times New Roman" w:hAnsi="Times New Roman"/>
          <w:sz w:val="12"/>
          <w:szCs w:val="12"/>
          <w:color w:val="auto"/>
        </w:rPr>
        <w:t>Each Plan should consider the fact that none of the issuers, the guarantors, the underwriters nor any of their respective affiliates will act as a fiduciary to any Plan with respect to any decisions with respect to the notes, including any decision whether to acquire notes and is not undertaking to provide impartial investment advice, or to give advice in a fiduciary capacity, with respect to taking or not taking action in connection with the notes.</w:t>
      </w:r>
    </w:p>
    <w:p>
      <w:pPr>
        <w:spacing w:after="0" w:line="1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Prohibited Transaction Issues</w:t>
      </w:r>
    </w:p>
    <w:p>
      <w:pPr>
        <w:spacing w:after="0" w:line="88"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subject to penalties and liabilities under ERISA and the Code. Plans that are “governmental plans” (as defined in Section 3(32) of ERISA or Section 414(d) of the Code), certain “church plans” (as defined in Section 3(33) of ERISA or Section 414(e) of the Code), and non-U.S. plans (as described in Section 4(b)(4) of ERISA) are not subject to the fiduciary responsibility requirements of ERISA or the prohibited transaction provisions of ERISA or Section 4975 of the Code but may be subject to similar prohibitions under other applicable Similar Laws. The acquisition and/or holding of the notes by a Covered Plan with respect to which any of the issuers, the guarantors, the underwriters or any of their respective affiliates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(“PTCEs”) that may apply to the acquisition and holding of the notes. These class exemptions</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S-45</w:t>
      </w:r>
    </w:p>
    <w:p>
      <w:pPr>
        <w:sectPr>
          <w:pgSz w:w="11900" w:h="16838" w:orient="portrait"/>
          <w:cols w:equalWidth="0" w:num="1">
            <w:col w:w="10159"/>
          </w:cols>
          <w:pgMar w:left="300" w:top="37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245" w:lineRule="auto"/>
        <w:rPr>
          <w:sz w:val="20"/>
          <w:szCs w:val="20"/>
          <w:color w:val="auto"/>
        </w:rPr>
      </w:pPr>
      <w:r>
        <w:rPr>
          <w:rFonts w:ascii="Times New Roman" w:cs="Times New Roman" w:eastAsia="Times New Roman" w:hAnsi="Times New Roman"/>
          <w:sz w:val="14"/>
          <w:szCs w:val="14"/>
          <w:color w:val="auto"/>
        </w:rPr>
        <w:t>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Section 408(b)(17) of ERISA and Section 4975(d)(20) of the Code provide relief from the prohibited transaction provisions of ERISA and Section 4975 of the Code for certain transactions between a Covered Plan and a person or entity that is a party in interest or disqualified person with respect to the Covered Plan solely by reason of providing services to the Covered Plan or a relationship with such a service provider, provided that neither the person transacting with the Covered Plan nor any of its affiliates has or exercises any discretionary authority or control or renders any investment advice with respect to the assets of the Covered Plan involved in the transaction and provided further that the Covered Plan receives no less than and pays no more than “adequate consideration” (within the meaning of Section 408(b)(17) of ERISA and Section 4975(f)(10) of the Code) in connection with the transaction. Each of the above noted exemptions contains certain conditions and limitations on its application. Fiduciaries of Plans considering acquiring and/or holding the notes in reliance on any of these or any other exemption should carefully review the exemption to ensure it is applicable. There can be no assurance that all of the conditions of any such exemptions will be satisfied.</w:t>
      </w:r>
    </w:p>
    <w:p>
      <w:pPr>
        <w:spacing w:after="0" w:line="152"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Because of the foregoing, the notes should not be purchased or held by any person investing “plan assets” of any Plan, unless such purchase and holding will not constitute or result in a non-exempt prohibited transaction under ERISA or the Code or a similar violation of any applicable Similar Laws.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Representation</w:t>
      </w:r>
    </w:p>
    <w:p>
      <w:pPr>
        <w:spacing w:after="0" w:line="88" w:lineRule="exact"/>
        <w:rPr>
          <w:sz w:val="20"/>
          <w:szCs w:val="20"/>
          <w:color w:val="auto"/>
        </w:rPr>
      </w:pPr>
    </w:p>
    <w:p>
      <w:pPr>
        <w:ind w:left="1480" w:right="379" w:firstLine="333"/>
        <w:spacing w:after="0" w:line="297" w:lineRule="auto"/>
        <w:rPr>
          <w:sz w:val="20"/>
          <w:szCs w:val="20"/>
          <w:color w:val="auto"/>
        </w:rPr>
      </w:pPr>
      <w:r>
        <w:rPr>
          <w:rFonts w:ascii="Times New Roman" w:cs="Times New Roman" w:eastAsia="Times New Roman" w:hAnsi="Times New Roman"/>
          <w:sz w:val="12"/>
          <w:szCs w:val="12"/>
          <w:color w:val="auto"/>
        </w:rPr>
        <w:t>Accordingly, by acceptance of the notes (or any interest therein), each purchaser and subsequent transferee of the notes (or any interest therein) will be deemed to have represented and warranted that either (i) no portion of the assets used by or on behalf of such purchaser or transferee to acquire or hold the notes (or any interest therein) constitutes assets of any Plan or (ii)(a) the acquisition and holding of the notes (or any interest therein) by such purchaser or transferee will not constitute or result in a non-exempt prohibited transaction under Section 406 of ERISA or Section 4975 of the Code or a similar violation under any applicable Similar Laws, and (b) none of the issuers, the guarantors, the underwriters nor any of their respective affiliates is its fiduciary with respect to all decisions with respect to the notes, including whether to invest in and/or hold the notes.</w:t>
      </w:r>
    </w:p>
    <w:p>
      <w:pPr>
        <w:spacing w:after="0" w:line="119" w:lineRule="exact"/>
        <w:rPr>
          <w:sz w:val="20"/>
          <w:szCs w:val="20"/>
          <w:color w:val="auto"/>
        </w:rPr>
      </w:pPr>
    </w:p>
    <w:p>
      <w:pPr>
        <w:ind w:left="1480" w:right="379" w:firstLine="333"/>
        <w:spacing w:after="0" w:line="293" w:lineRule="auto"/>
        <w:rPr>
          <w:sz w:val="20"/>
          <w:szCs w:val="20"/>
          <w:color w:val="auto"/>
        </w:rPr>
      </w:pPr>
      <w:r>
        <w:rPr>
          <w:rFonts w:ascii="Times New Roman" w:cs="Times New Roman" w:eastAsia="Times New Roman" w:hAnsi="Times New Roman"/>
          <w:sz w:val="12"/>
          <w:szCs w:val="12"/>
          <w:color w:val="auto"/>
        </w:rPr>
        <w:t>The foregoing discussion is general in nature and is not intended to be all inclusive and should not be construed as legal advice. Due to the complexity of these rules and the penalties that may be imposed upon persons involved in non-exempt prohibited transactions, it is particularly important that fiduciaries or other persons considering purchasing the notes on behalf of, or with the assets of, any Plan, consult with their counsel regarding the potential applicability of ERISA, Section 4975 of the Code and any Similar Laws to such investment and whether an exemption would be applicable to the purchase and holding of the notes. Each purchaser or subsequent transferee has exclusive responsibility for ensuring that their purchase and holding of the notes (or any interest therein) does not violate the fiduciary responsibility rules of ERISA or the prohibited transaction rules of ERISA or the Code or the provisions of applicable Similar Laws. The sale of any notes to a Plan is in no respect a representation by us, the underwriters or any of our or their affiliates or representatives that such an investment meets all relevant legal requirements with respect to investments by Plans generally or any particular Plan or that such investment is appropriate for Plans generally or any particular Plan.</w:t>
      </w:r>
    </w:p>
    <w:p>
      <w:pPr>
        <w:spacing w:after="0" w:line="2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S-46</w:t>
      </w:r>
    </w:p>
    <w:p>
      <w:pPr>
        <w:sectPr>
          <w:pgSz w:w="11900" w:h="16838" w:orient="portrait"/>
          <w:cols w:equalWidth="0" w:num="1">
            <w:col w:w="10159"/>
          </w:cols>
          <w:pgMar w:left="300" w:top="37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0" w:lineRule="exact"/>
        <w:rPr>
          <w:sz w:val="20"/>
          <w:szCs w:val="20"/>
          <w:color w:val="auto"/>
        </w:rPr>
      </w:pPr>
    </w:p>
    <w:p>
      <w:pPr>
        <w:ind w:left="1480" w:right="479" w:firstLine="333"/>
        <w:spacing w:after="0" w:line="250" w:lineRule="auto"/>
        <w:rPr>
          <w:sz w:val="20"/>
          <w:szCs w:val="20"/>
          <w:color w:val="auto"/>
        </w:rPr>
      </w:pPr>
      <w:r>
        <w:rPr>
          <w:rFonts w:ascii="Times New Roman" w:cs="Times New Roman" w:eastAsia="Times New Roman" w:hAnsi="Times New Roman"/>
          <w:sz w:val="14"/>
          <w:szCs w:val="14"/>
          <w:color w:val="auto"/>
        </w:rPr>
        <w:t>Barclays Capital Inc., BofA Securities, Inc., Goldman Sachs &amp; Co. LLC, HSBC Securities (USA) Inc., J.P. Morgan Securities LLC and PNC Capital Markets LLC are acting as joint book-running managers and representatives of each of the underwriters named below. Subject to the terms and conditions set forth in the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46" w:lineRule="exact"/>
        <w:rPr>
          <w:sz w:val="20"/>
          <w:szCs w:val="20"/>
          <w:color w:val="auto"/>
        </w:rPr>
      </w:pPr>
    </w:p>
    <w:tbl>
      <w:tblPr>
        <w:tblLayout w:type="fixed"/>
        <w:tblInd w:w="182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0" w:type="dxa"/>
            <w:vAlign w:val="bottom"/>
          </w:tcPr>
          <w:p>
            <w:pPr>
              <w:spacing w:after="0"/>
              <w:rPr>
                <w:sz w:val="1"/>
                <w:szCs w:val="1"/>
                <w:color w:val="auto"/>
              </w:rPr>
            </w:pPr>
          </w:p>
        </w:tc>
      </w:tr>
      <w:tr>
        <w:trPr>
          <w:trHeight w:val="112"/>
        </w:trPr>
        <w:tc>
          <w:tcPr>
            <w:tcW w:w="6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Underwriter</w:t>
            </w:r>
          </w:p>
        </w:tc>
        <w:tc>
          <w:tcPr>
            <w:tcW w:w="250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ind w:right="193"/>
              <w:spacing w:after="0" w:line="113"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ind w:right="133"/>
              <w:spacing w:after="0" w:line="113"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Amount of</w:t>
            </w:r>
          </w:p>
        </w:tc>
        <w:tc>
          <w:tcPr>
            <w:tcW w:w="0" w:type="dxa"/>
            <w:vAlign w:val="bottom"/>
          </w:tcPr>
          <w:p>
            <w:pPr>
              <w:spacing w:after="0"/>
              <w:rPr>
                <w:sz w:val="1"/>
                <w:szCs w:val="1"/>
                <w:color w:val="auto"/>
              </w:rPr>
            </w:pPr>
          </w:p>
        </w:tc>
      </w:tr>
      <w:tr>
        <w:trPr>
          <w:trHeight w:val="141"/>
        </w:trPr>
        <w:tc>
          <w:tcPr>
            <w:tcW w:w="600" w:type="dxa"/>
            <w:vAlign w:val="bottom"/>
            <w:tcBorders>
              <w:bottom w:val="single" w:sz="8" w:color="auto"/>
            </w:tcBorders>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93"/>
              <w:spacing w:after="0" w:line="121" w:lineRule="exact"/>
              <w:rPr>
                <w:sz w:val="20"/>
                <w:szCs w:val="20"/>
                <w:color w:val="auto"/>
              </w:rPr>
            </w:pPr>
            <w:r>
              <w:rPr>
                <w:rFonts w:ascii="Times New Roman" w:cs="Times New Roman" w:eastAsia="Times New Roman" w:hAnsi="Times New Roman"/>
                <w:sz w:val="11"/>
                <w:szCs w:val="11"/>
                <w:b w:val="1"/>
                <w:bCs w:val="1"/>
                <w:color w:val="auto"/>
              </w:rPr>
              <w:t>2031 Notes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33"/>
              <w:spacing w:after="0" w:line="121" w:lineRule="exact"/>
              <w:rPr>
                <w:sz w:val="20"/>
                <w:szCs w:val="20"/>
                <w:color w:val="auto"/>
              </w:rPr>
            </w:pPr>
            <w:r>
              <w:rPr>
                <w:rFonts w:ascii="Times New Roman" w:cs="Times New Roman" w:eastAsia="Times New Roman" w:hAnsi="Times New Roman"/>
                <w:sz w:val="11"/>
                <w:szCs w:val="11"/>
                <w:b w:val="1"/>
                <w:bCs w:val="1"/>
                <w:color w:val="auto"/>
              </w:rPr>
              <w:t>2034 Notes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1"/>
                <w:szCs w:val="11"/>
                <w:b w:val="1"/>
                <w:bCs w:val="1"/>
                <w:color w:val="auto"/>
              </w:rPr>
              <w:t>2037 Notes</w:t>
            </w:r>
          </w:p>
        </w:tc>
        <w:tc>
          <w:tcPr>
            <w:tcW w:w="0" w:type="dxa"/>
            <w:vAlign w:val="bottom"/>
          </w:tcPr>
          <w:p>
            <w:pPr>
              <w:spacing w:after="0"/>
              <w:rPr>
                <w:sz w:val="1"/>
                <w:szCs w:val="1"/>
                <w:color w:val="auto"/>
              </w:rPr>
            </w:pPr>
          </w:p>
        </w:tc>
      </w:tr>
      <w:tr>
        <w:trPr>
          <w:trHeight w:val="144"/>
        </w:trPr>
        <w:tc>
          <w:tcPr>
            <w:tcW w:w="310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Barclays Capital Inc.</w:t>
            </w:r>
          </w:p>
        </w:tc>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90,000,000</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67,500,000</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112,500,000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HSBC Securities (USA) Inc.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PNC Capital Markets LLC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MUFG Securities Americas Inc.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Scotia Capital (USA) Inc.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SG Americas Securities, LLC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UBS Securities LLC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BNY Mellon Capital Markets, LLC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ING Financial Markets LLC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Santander US Capital Markets LLC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SMBC Nikko Securities America, Inc.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Standard Chartered Bank</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 King &amp; Associates, Inc.</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 Seelaus &amp; Co., LLC</w:t>
            </w: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3,750,000</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1,000,000,000</w:t>
            </w:r>
          </w:p>
        </w:tc>
        <w:tc>
          <w:tcPr>
            <w:tcW w:w="3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750,000,000</w:t>
            </w:r>
          </w:p>
        </w:tc>
        <w:tc>
          <w:tcPr>
            <w:tcW w:w="4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659" w:firstLine="333"/>
        <w:spacing w:after="0" w:line="254"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notes are subject to approval of legal matters by counsel and to other conditions. The underwriters must purchase all of the notes if they purchase any of the notes. The offering of the notes by the underwriters is subject to receipt and acceptance and subject to the underwriters’ right to reject any order in whole or in part.</w:t>
      </w:r>
    </w:p>
    <w:p>
      <w:pPr>
        <w:spacing w:after="0" w:line="142" w:lineRule="exact"/>
        <w:rPr>
          <w:sz w:val="20"/>
          <w:szCs w:val="20"/>
          <w:color w:val="auto"/>
        </w:rPr>
      </w:pPr>
    </w:p>
    <w:p>
      <w:pPr>
        <w:ind w:left="1480" w:right="599" w:firstLine="333"/>
        <w:spacing w:after="0" w:line="264" w:lineRule="auto"/>
        <w:rPr>
          <w:sz w:val="20"/>
          <w:szCs w:val="20"/>
          <w:color w:val="auto"/>
        </w:rPr>
      </w:pPr>
      <w:r>
        <w:rPr>
          <w:rFonts w:ascii="Times New Roman" w:cs="Times New Roman" w:eastAsia="Times New Roman" w:hAnsi="Times New Roman"/>
          <w:sz w:val="14"/>
          <w:szCs w:val="14"/>
          <w:color w:val="auto"/>
        </w:rPr>
        <w:t>Notes sold by the underwriters to the public will initially be offered at the initial public offering prices set forth on the cover of this prospectus supplement. After the initial offering, the public offering prices, concessions or any other term of the offering may be changed.</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S-47</w:t>
      </w:r>
    </w:p>
    <w:p>
      <w:pPr>
        <w:sectPr>
          <w:pgSz w:w="11900" w:h="16838" w:orient="portrait"/>
          <w:cols w:equalWidth="0" w:num="1">
            <w:col w:w="10159"/>
          </w:cols>
          <w:pgMar w:left="300" w:top="37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following table shows the underwriting discounts that we are to pay to the underwriters in connection with this offering:</w:t>
      </w:r>
    </w:p>
    <w:p>
      <w:pPr>
        <w:spacing w:after="0" w:line="180" w:lineRule="exact"/>
        <w:rPr>
          <w:sz w:val="20"/>
          <w:szCs w:val="20"/>
          <w:color w:val="auto"/>
        </w:rPr>
      </w:pPr>
    </w:p>
    <w:tbl>
      <w:tblPr>
        <w:tblLayout w:type="fixed"/>
        <w:tblInd w:w="2820" w:type="dxa"/>
        <w:tblCellMar>
          <w:top w:w="0" w:type="dxa"/>
          <w:left w:w="0" w:type="dxa"/>
          <w:bottom w:w="0" w:type="dxa"/>
          <w:right w:w="0" w:type="dxa"/>
        </w:tblCellMar>
      </w:tblPr>
      <w:tr>
        <w:trPr>
          <w:trHeight w:val="131"/>
        </w:trPr>
        <w:tc>
          <w:tcPr>
            <w:tcW w:w="48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Paid by us</w:t>
            </w:r>
          </w:p>
        </w:tc>
        <w:tc>
          <w:tcPr>
            <w:tcW w:w="160" w:type="dxa"/>
            <w:vAlign w:val="bottom"/>
            <w:tcBorders>
              <w:bottom w:val="single" w:sz="8" w:color="CCEEFF"/>
            </w:tcBorders>
          </w:tcPr>
          <w:p>
            <w:pPr>
              <w:spacing w:after="0"/>
              <w:rPr>
                <w:sz w:val="11"/>
                <w:szCs w:val="11"/>
                <w:color w:val="auto"/>
              </w:rPr>
            </w:pPr>
          </w:p>
        </w:tc>
      </w:tr>
      <w:tr>
        <w:trPr>
          <w:trHeight w:val="154"/>
        </w:trPr>
        <w:tc>
          <w:tcPr>
            <w:tcW w:w="48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Per 2031 Note</w:t>
            </w:r>
          </w:p>
        </w:tc>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0.400%</w:t>
            </w:r>
          </w:p>
        </w:tc>
      </w:tr>
      <w:tr>
        <w:trPr>
          <w:trHeight w:val="16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Per 2034 Note</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0.500%</w:t>
            </w:r>
          </w:p>
        </w:tc>
      </w:tr>
      <w:tr>
        <w:trPr>
          <w:trHeight w:val="16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2037 Note</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0.600%</w:t>
            </w:r>
          </w:p>
        </w:tc>
      </w:tr>
      <w:tr>
        <w:trPr>
          <w:trHeight w:val="164"/>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1"/>
              </w:rPr>
              <w:t>$</w:t>
            </w:r>
            <w:r>
              <w:rPr>
                <w:rFonts w:ascii="Times New Roman" w:cs="Times New Roman" w:eastAsia="Times New Roman" w:hAnsi="Times New Roman"/>
                <w:sz w:val="14"/>
                <w:szCs w:val="14"/>
                <w:color w:val="auto"/>
                <w:w w:val="91"/>
              </w:rPr>
              <w:t>15,250,000</w:t>
            </w:r>
          </w:p>
        </w:tc>
        <w:tc>
          <w:tcPr>
            <w:tcW w:w="160" w:type="dxa"/>
            <w:vAlign w:val="bottom"/>
          </w:tcPr>
          <w:p>
            <w:pPr>
              <w:spacing w:after="0"/>
              <w:rPr>
                <w:sz w:val="14"/>
                <w:szCs w:val="14"/>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We estimate that our share of the total expenses of the offering, excluding the underwriting discount, will be approximately $8.5 million.</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479" w:firstLine="333"/>
        <w:spacing w:after="0" w:line="264" w:lineRule="auto"/>
        <w:rPr>
          <w:sz w:val="20"/>
          <w:szCs w:val="20"/>
          <w:color w:val="auto"/>
        </w:rPr>
      </w:pPr>
      <w:r>
        <w:rPr>
          <w:rFonts w:ascii="Times New Roman" w:cs="Times New Roman" w:eastAsia="Times New Roman" w:hAnsi="Times New Roman"/>
          <w:sz w:val="14"/>
          <w:szCs w:val="14"/>
          <w:color w:val="auto"/>
        </w:rPr>
        <w:t>The issuers and the guarantors have agreed to indemnify the several underwriters against liabilities that could arise including liabilities under the Securities Act or to contribute to payments that the underwriters may be required to make because of any of those liabilities.</w:t>
      </w:r>
    </w:p>
    <w:p>
      <w:pPr>
        <w:spacing w:after="0" w:line="136" w:lineRule="exact"/>
        <w:rPr>
          <w:sz w:val="20"/>
          <w:szCs w:val="20"/>
          <w:color w:val="auto"/>
        </w:rPr>
      </w:pPr>
    </w:p>
    <w:p>
      <w:pPr>
        <w:ind w:left="1480" w:right="419" w:firstLine="333"/>
        <w:spacing w:after="0" w:line="250" w:lineRule="auto"/>
        <w:rPr>
          <w:sz w:val="20"/>
          <w:szCs w:val="20"/>
          <w:color w:val="auto"/>
        </w:rPr>
      </w:pPr>
      <w:r>
        <w:rPr>
          <w:rFonts w:ascii="Times New Roman" w:cs="Times New Roman" w:eastAsia="Times New Roman" w:hAnsi="Times New Roman"/>
          <w:sz w:val="14"/>
          <w:szCs w:val="14"/>
          <w:color w:val="auto"/>
        </w:rPr>
        <w:t>The notes will be new securities for which there are currently no markets. The notes will not be listed on any securities exchange or automated quotation system. Although the underwriters have informed us that they intend to make a market in the notes of each series, they are not obligated to do so, and they may discontinue market-making activities at any time without notice. Accordingly, we cannot assure you that liquid markets for the notes will develop or, if such markets develop, that they will be maintained.</w:t>
      </w:r>
    </w:p>
    <w:p>
      <w:pPr>
        <w:spacing w:after="0" w:line="146" w:lineRule="exact"/>
        <w:rPr>
          <w:sz w:val="20"/>
          <w:szCs w:val="20"/>
          <w:color w:val="auto"/>
        </w:rPr>
      </w:pPr>
    </w:p>
    <w:p>
      <w:pPr>
        <w:ind w:left="1480" w:right="479" w:firstLine="333"/>
        <w:spacing w:after="0" w:line="300" w:lineRule="auto"/>
        <w:rPr>
          <w:sz w:val="20"/>
          <w:szCs w:val="20"/>
          <w:color w:val="auto"/>
        </w:rPr>
      </w:pPr>
      <w:r>
        <w:rPr>
          <w:rFonts w:ascii="Times New Roman" w:cs="Times New Roman" w:eastAsia="Times New Roman" w:hAnsi="Times New Roman"/>
          <w:sz w:val="12"/>
          <w:szCs w:val="12"/>
          <w:color w:val="auto"/>
        </w:rPr>
        <w:t>We expect that delivery of the notes will be made against payment therefor on or about June 16, 2026, which is the third business day following the date of pricing of the notes (this settlement cycle being referred to as “T+3”). Since trades in the secondary market generally settle in one business day, purchasers who wish to trade their notes on any date prior to the first business day before delivery will be required, by virtue of the fact that the notes initially will settle in T+3, to specify an alternative settlement cycle at the time of any such trade to prevent a failed settlement. Purchasers of the notes who wish to trade the notes on any date prior to the first business day before delivery should consult their own advisors.</w:t>
      </w:r>
    </w:p>
    <w:p>
      <w:pPr>
        <w:spacing w:after="0" w:line="118" w:lineRule="exact"/>
        <w:rPr>
          <w:sz w:val="20"/>
          <w:szCs w:val="20"/>
          <w:color w:val="auto"/>
        </w:rPr>
      </w:pPr>
    </w:p>
    <w:p>
      <w:pPr>
        <w:ind w:left="1480" w:right="599" w:firstLine="333"/>
        <w:spacing w:after="0" w:line="264"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notes in the open market. Purchases and sales in the open market may include short sales, purchases to cover short positions and stabilizing purchases.</w:t>
      </w:r>
    </w:p>
    <w:p>
      <w:pPr>
        <w:spacing w:after="0" w:line="65" w:lineRule="exact"/>
        <w:rPr>
          <w:sz w:val="20"/>
          <w:szCs w:val="20"/>
          <w:color w:val="auto"/>
        </w:rPr>
      </w:pPr>
    </w:p>
    <w:p>
      <w:pPr>
        <w:ind w:left="2220" w:right="719" w:hanging="334"/>
        <w:spacing w:after="0" w:line="264" w:lineRule="auto"/>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involve secondary market sales by the underwriters of a greater number of notes than they are required to purchase in the Offering.</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Stabilizing transactions involve bids to purchase the notes so long as the stabilizing bids do not exceed a specified maximum.</w:t>
      </w:r>
    </w:p>
    <w:p>
      <w:pPr>
        <w:spacing w:after="0" w:line="94" w:lineRule="exact"/>
        <w:rPr>
          <w:rFonts w:ascii="Times New Roman" w:cs="Times New Roman" w:eastAsia="Times New Roman" w:hAnsi="Times New Roman"/>
          <w:sz w:val="14"/>
          <w:szCs w:val="14"/>
          <w:color w:val="auto"/>
        </w:rPr>
      </w:pPr>
    </w:p>
    <w:p>
      <w:pPr>
        <w:ind w:left="2220" w:right="519" w:hanging="334"/>
        <w:spacing w:after="0" w:line="264" w:lineRule="auto"/>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Covering transactions involve purchases of the notes in the open market after the distribution has been completed in order to cover short positions.</w:t>
      </w:r>
    </w:p>
    <w:p>
      <w:pPr>
        <w:spacing w:after="0" w:line="64" w:lineRule="exact"/>
        <w:rPr>
          <w:rFonts w:ascii="Times New Roman" w:cs="Times New Roman" w:eastAsia="Times New Roman" w:hAnsi="Times New Roman"/>
          <w:sz w:val="14"/>
          <w:szCs w:val="14"/>
          <w:color w:val="auto"/>
        </w:rPr>
      </w:pPr>
    </w:p>
    <w:p>
      <w:pPr>
        <w:ind w:left="2220" w:right="599" w:hanging="334"/>
        <w:spacing w:after="0" w:line="264" w:lineRule="auto"/>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Penalty bids permit the underwriters to reclaim a selling concession from a syndicate member when the underwriters, in covering short positions or making a stabilizing purchase, repurchase notes originally sold by that syndicate member to cover positions.</w:t>
      </w:r>
    </w:p>
    <w:p>
      <w:pPr>
        <w:spacing w:after="0" w:line="136" w:lineRule="exact"/>
        <w:rPr>
          <w:sz w:val="20"/>
          <w:szCs w:val="20"/>
          <w:color w:val="auto"/>
        </w:rPr>
      </w:pPr>
    </w:p>
    <w:p>
      <w:pPr>
        <w:ind w:left="1480" w:right="479" w:firstLine="333"/>
        <w:spacing w:after="0" w:line="316" w:lineRule="auto"/>
        <w:rPr>
          <w:sz w:val="20"/>
          <w:szCs w:val="20"/>
          <w:color w:val="auto"/>
        </w:rPr>
      </w:pPr>
      <w:r>
        <w:rPr>
          <w:rFonts w:ascii="Times New Roman" w:cs="Times New Roman" w:eastAsia="Times New Roman" w:hAnsi="Times New Roman"/>
          <w:sz w:val="12"/>
          <w:szCs w:val="12"/>
          <w:color w:val="auto"/>
        </w:rPr>
        <w:t>Purchases to cover short positions and stabilizing purchases, as well as other purchases by the underwriters for their own accounts, may have the effect of preventing or retarding a decline in the market prices of the notes. These over-allotments, stabilizing transactions, covering transactions and penalty bids may cause the prices of the notes to be higher than they would otherwise be in the absence of these transactions. These transactions, if</w:t>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S-48</w:t>
      </w:r>
    </w:p>
    <w:p>
      <w:pPr>
        <w:sectPr>
          <w:pgSz w:w="11900" w:h="16838" w:orient="portrait"/>
          <w:cols w:equalWidth="0" w:num="1">
            <w:col w:w="10159"/>
          </w:cols>
          <w:pgMar w:left="300" w:top="37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699"/>
        <w:spacing w:after="0" w:line="264" w:lineRule="auto"/>
        <w:rPr>
          <w:sz w:val="20"/>
          <w:szCs w:val="20"/>
          <w:color w:val="auto"/>
        </w:rPr>
      </w:pPr>
      <w:r>
        <w:rPr>
          <w:rFonts w:ascii="Times New Roman" w:cs="Times New Roman" w:eastAsia="Times New Roman" w:hAnsi="Times New Roman"/>
          <w:sz w:val="14"/>
          <w:szCs w:val="14"/>
          <w:color w:val="auto"/>
        </w:rPr>
        <w:t>commenced, may be discontinued at any time. The underwriters may conduct these transactions in the over-the-counter market or otherwise. If the underwriters commence any of these transactions, they may discontinue them at any time.</w:t>
      </w:r>
    </w:p>
    <w:p>
      <w:pPr>
        <w:spacing w:after="0" w:line="136"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respective affiliates have provided and/or may provide in the future, investment banking, commercial banking and other financial services for us and our affiliates in the ordinary course of business, for which they have received and will receive customary compensation. Affiliates of certain of the underwriters act as agents and/or lenders under the new revolving credit facility, and have received fees in connection with such roles. Certain of the underwriters or their affiliates also act as lenders and/or agents under certain of our structured financing debt and/or are holders of our other debt and in the event the net proceeds of this Offering are applied to repay debt, such underwriters or their affiliates may receive a portion of the net proceeds of this Offering. In addition, a member of the Dell Technologies board of directors is also a director of Goldman Sachs Group Inc., an affiliate of one of the underwriters. BNY Mellon Capital Markets, LLC, one of the underwriters participating in the Offering, is an affiliate of the Trustee.</w:t>
      </w:r>
    </w:p>
    <w:p>
      <w:pPr>
        <w:spacing w:after="0" w:line="154" w:lineRule="exact"/>
        <w:rPr>
          <w:sz w:val="20"/>
          <w:szCs w:val="20"/>
          <w:color w:val="auto"/>
        </w:rPr>
      </w:pPr>
    </w:p>
    <w:p>
      <w:pPr>
        <w:ind w:left="1480" w:right="379" w:firstLine="333"/>
        <w:spacing w:after="0" w:line="289" w:lineRule="auto"/>
        <w:rPr>
          <w:sz w:val="20"/>
          <w:szCs w:val="20"/>
          <w:color w:val="auto"/>
        </w:rPr>
      </w:pPr>
      <w:r>
        <w:rPr>
          <w:rFonts w:ascii="Times New Roman" w:cs="Times New Roman" w:eastAsia="Times New Roman" w:hAnsi="Times New Roman"/>
          <w:sz w:val="12"/>
          <w:szCs w:val="12"/>
          <w:color w:val="auto"/>
        </w:rPr>
        <w:t>In addition, in the ordinary course of their various business activities,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and such investment and securities activities may involve our securities and/or instruments. If the underwriters or their affiliates have a lending relationship with us, certain of those underwriters or their affiliates routinely hedge, certain of the underwriters or their affiliates are likely to hedge or otherwise reduce, and certain other of these underwriters or their affiliates may hedge, their credit exposure to us consistent with their customary risk management policies. The underwriters and their affiliates may hedge such exposure by entering into transactions which consist of either the purchase of credit default swaps or the creation of short positions in our securities or the securities of our affiliates, including potentially the notes offered hereby. Any such credit default swaps or short positions could adversely affect future trading prices of the notes offered hereby. The underwriters and/or their respective affiliates may also communicate independent investment recommendations, market color or trading ideas and/or publish or express independent research views in respect of such assets, securities or instruments and may at any time hold for their own account and for the accounts of their customers, or recommend to clients that they acquire long and/or short positions in such securities and instruments.</w:t>
      </w:r>
    </w:p>
    <w:p>
      <w:pPr>
        <w:spacing w:after="0" w:line="294"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To the extent any underwriter that is not a U.S.-registered broker-dealer intends to effect sales of the notes in the U.S., it will do so through one or more U.S.-registered broker-dealers in accordance with the applicable U.S. securities laws and regulations.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88" w:lineRule="exact"/>
        <w:rPr>
          <w:sz w:val="20"/>
          <w:szCs w:val="20"/>
          <w:color w:val="auto"/>
        </w:rPr>
      </w:pPr>
    </w:p>
    <w:p>
      <w:pPr>
        <w:ind w:left="1480" w:right="419" w:firstLine="333"/>
        <w:spacing w:after="0" w:line="297" w:lineRule="auto"/>
        <w:rPr>
          <w:sz w:val="20"/>
          <w:szCs w:val="20"/>
          <w:color w:val="auto"/>
        </w:rPr>
      </w:pPr>
      <w:r>
        <w:rPr>
          <w:rFonts w:ascii="Times New Roman" w:cs="Times New Roman" w:eastAsia="Times New Roman" w:hAnsi="Times New Roman"/>
          <w:sz w:val="12"/>
          <w:szCs w:val="12"/>
          <w:color w:val="auto"/>
        </w:rPr>
        <w:t>The notes are not intended to be offered, sold or otherwise made available to and should not be offered, sold or otherwise made available to any retail investor in the European Economic Area (“EEA”). For these purposes, (a)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the “Prospectus Regulation”); and (b) the expression an “offer” includes the communication in any form and by any means of sufficient information on the terms of the</w:t>
      </w:r>
    </w:p>
    <w:p>
      <w:pPr>
        <w:spacing w:after="0" w:line="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S-49</w:t>
      </w:r>
    </w:p>
    <w:p>
      <w:pPr>
        <w:sectPr>
          <w:pgSz w:w="11900" w:h="16838" w:orient="portrait"/>
          <w:cols w:equalWidth="0" w:num="1">
            <w:col w:w="10159"/>
          </w:cols>
          <w:pgMar w:left="300" w:top="37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offer and the notes to be offered so as to enable an investor to decide to purchase or subscribe for the notes. Consequently, no key information document required by Regulation (EU) No 1286/2014 (as amended or superseded,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88"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600/2014 as it forms part of domestic law by virtue of the European Union (Withdrawal) Act 2018 (“EUWA”); nor (ii) a qualified investor as defined in paragraph 15 of Schedule 1 to the Public Offers and Admissions to Trading Regulations 2024 (the “POATRs”). For the purpose of this provision, the expression “an offer” includes the communication in any form and by any means of sufficient information on the terms of the offer and the notes to be offered so as to enable an investor to decide to purchase or subscribe for the notes”. Consequently, no disclosure document required by the UK Financial Conduct Authority (“FCA”) Product Disclosure sourcebook (“DISC”) for offering, selling or distributing consumer composite investments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notes in the UK will be made pursuant to an exception from the prohibition on offers of notes to the public under the POATRs. Neither this prospectus supplement nor the accompanying prospectus is a prospectus for the purposes of the POATRs or the FCA Prospectus Rules: Admission to Trading on a Regulated Market sourcebook.</w:t>
      </w:r>
    </w:p>
    <w:p>
      <w:pPr>
        <w:spacing w:after="0" w:line="151"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In the UK, this prospectus supplement and any other material in relation to the notes described herein is only being distributed to, and is only directed at, (i) persons having professional experience in matters relating to investments falling within Article 19(5) of the Financial Services and Markets Act 2000 (Financial Promotion) Order 2005 (as amended, the “Financial Promotion Order”), (ii) persons falling within Article 49(2)(a) to (d) (“high net worth companies, unincorporated associations etc.”) of the Financial Promotion Order, (iii) persons outside the UK or (iv)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In the UK, any investment or investment activity to which this prospectus supplement relates is available only to, and will be engaged in only with, relevant persons. Any person in the UK that is not a relevant person should not act or rely on this prospectus supplement or its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88"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not intended to constitute an offer or solicitation to purchase or invest in the notes. The notes may not be publicly offered, sold or advertised, directly or indirectly, in, into or from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w:t>
      </w:r>
    </w:p>
    <w:p>
      <w:pPr>
        <w:spacing w:after="0" w:line="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S-50</w:t>
      </w:r>
    </w:p>
    <w:p>
      <w:pPr>
        <w:sectPr>
          <w:pgSz w:w="11900" w:h="16838" w:orient="portrait"/>
          <w:cols w:equalWidth="0" w:num="1">
            <w:col w:w="10159"/>
          </w:cols>
          <w:pgMar w:left="300" w:top="37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39"/>
        <w:spacing w:after="0" w:line="305" w:lineRule="auto"/>
        <w:rPr>
          <w:sz w:val="20"/>
          <w:szCs w:val="20"/>
          <w:color w:val="auto"/>
        </w:rPr>
      </w:pPr>
      <w:r>
        <w:rPr>
          <w:rFonts w:ascii="Times New Roman" w:cs="Times New Roman" w:eastAsia="Times New Roman" w:hAnsi="Times New Roman"/>
          <w:sz w:val="12"/>
          <w:szCs w:val="12"/>
          <w:color w:val="auto"/>
        </w:rPr>
        <w:t>the notes may be publicly distributed or otherwise made publicly available in Switzerland. In particular, this prospectus supplement and the accompanying prospectus will not be filed with, and the offer of the notes will not be supervised by, the Swiss Financial Market Supervisory Authority, and the offer of the notes has not been and will not be authorized under the Swiss Federal Act on Collective Investment Schemes (the “CISA”). The investor protection afforded to acquirers of interests in collective investment schemes under the CISA does not extend to acquirers of the notes.</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Dubai International Financial Centre</w:t>
      </w:r>
    </w:p>
    <w:p>
      <w:pPr>
        <w:spacing w:after="0" w:line="88"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this prospectus supplement or the accompanying prospectus.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50"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In relation to its use in the Dubai International Financial Centre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88"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Each underwriter represents, warrants and agrees that (i) it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88"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The notes have not been and will not be registered under the Financial Instruments and Exchange Law of Japan (the “Financial Instruments and Exchange Law”). The underwriters have agreed that they have not, directly or indirectly, offered or sold and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S-51</w:t>
      </w:r>
    </w:p>
    <w:p>
      <w:pPr>
        <w:sectPr>
          <w:pgSz w:w="11900" w:h="16838" w:orient="portrait"/>
          <w:cols w:equalWidth="0" w:num="1">
            <w:col w:w="10159"/>
          </w:cols>
          <w:pgMar w:left="300" w:top="37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88"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not been registered as a prospectus with the Monetary Authority of Singapore. Accordingly, each underwriter has represented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notes, whether directly or indirectly, to any person in Singapore other than:</w:t>
      </w:r>
    </w:p>
    <w:p>
      <w:pPr>
        <w:spacing w:after="0" w:line="78" w:lineRule="exact"/>
        <w:rPr>
          <w:sz w:val="20"/>
          <w:szCs w:val="20"/>
          <w:color w:val="auto"/>
        </w:rPr>
      </w:pPr>
    </w:p>
    <w:p>
      <w:pPr>
        <w:ind w:left="2220" w:right="379" w:hanging="416"/>
        <w:spacing w:after="0" w:line="264" w:lineRule="auto"/>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in Section 4A of the Securities and Futures Act (Chapter 289) of Singapore, as modified or amended from time to time (the “SFA”)) pursuant to Section 274 of the SFA;</w:t>
      </w:r>
    </w:p>
    <w:p>
      <w:pPr>
        <w:spacing w:after="0" w:line="64" w:lineRule="exact"/>
        <w:rPr>
          <w:rFonts w:ascii="Times New Roman" w:cs="Times New Roman" w:eastAsia="Times New Roman" w:hAnsi="Times New Roman"/>
          <w:sz w:val="14"/>
          <w:szCs w:val="14"/>
          <w:color w:val="auto"/>
        </w:rPr>
      </w:pPr>
    </w:p>
    <w:p>
      <w:pPr>
        <w:ind w:left="2220" w:right="1039" w:hanging="416"/>
        <w:spacing w:after="0" w:line="264" w:lineRule="auto"/>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Where the notes are subscribed or purchased under Section 275 of the SFA by a relevant person which is:</w:t>
      </w:r>
    </w:p>
    <w:p>
      <w:pPr>
        <w:spacing w:after="0" w:line="94" w:lineRule="exact"/>
        <w:rPr>
          <w:sz w:val="20"/>
          <w:szCs w:val="20"/>
          <w:color w:val="auto"/>
        </w:rPr>
      </w:pPr>
    </w:p>
    <w:p>
      <w:pPr>
        <w:ind w:left="2220" w:right="439" w:hanging="416"/>
        <w:spacing w:after="0" w:line="26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4" w:lineRule="exact"/>
        <w:rPr>
          <w:rFonts w:ascii="Times New Roman" w:cs="Times New Roman" w:eastAsia="Times New Roman" w:hAnsi="Times New Roman"/>
          <w:sz w:val="14"/>
          <w:szCs w:val="14"/>
          <w:color w:val="auto"/>
        </w:rPr>
      </w:pPr>
    </w:p>
    <w:p>
      <w:pPr>
        <w:ind w:left="2220" w:right="599" w:hanging="416"/>
        <w:spacing w:after="0" w:line="305" w:lineRule="auto"/>
        <w:tabs>
          <w:tab w:leader="none" w:pos="22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4" w:lineRule="exact"/>
        <w:rPr>
          <w:rFonts w:ascii="Times New Roman" w:cs="Times New Roman" w:eastAsia="Times New Roman" w:hAnsi="Times New Roman"/>
          <w:sz w:val="12"/>
          <w:szCs w:val="12"/>
          <w:color w:val="auto"/>
        </w:rPr>
      </w:pPr>
    </w:p>
    <w:p>
      <w:pPr>
        <w:ind w:left="2540" w:right="999" w:hanging="317"/>
        <w:spacing w:after="0" w:line="264" w:lineRule="auto"/>
        <w:tabs>
          <w:tab w:leader="none" w:pos="25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275(1A) or Section 276(4)(i)(B) of the SFA;</w:t>
      </w:r>
    </w:p>
    <w:p>
      <w:pPr>
        <w:spacing w:after="0" w:line="64" w:lineRule="exact"/>
        <w:rPr>
          <w:rFonts w:ascii="Times New Roman" w:cs="Times New Roman" w:eastAsia="Times New Roman" w:hAnsi="Times New Roman"/>
          <w:sz w:val="14"/>
          <w:szCs w:val="14"/>
          <w:color w:val="auto"/>
        </w:rPr>
      </w:pPr>
    </w:p>
    <w:p>
      <w:pPr>
        <w:ind w:left="2540" w:hanging="317"/>
        <w:spacing w:after="0"/>
        <w:tabs>
          <w:tab w:leader="none" w:pos="25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4" w:lineRule="exact"/>
        <w:rPr>
          <w:rFonts w:ascii="Times New Roman" w:cs="Times New Roman" w:eastAsia="Times New Roman" w:hAnsi="Times New Roman"/>
          <w:sz w:val="14"/>
          <w:szCs w:val="14"/>
          <w:color w:val="auto"/>
        </w:rPr>
      </w:pPr>
    </w:p>
    <w:p>
      <w:pPr>
        <w:ind w:left="2540" w:hanging="317"/>
        <w:spacing w:after="0"/>
        <w:tabs>
          <w:tab w:leader="none" w:pos="25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94" w:lineRule="exact"/>
        <w:rPr>
          <w:rFonts w:ascii="Times New Roman" w:cs="Times New Roman" w:eastAsia="Times New Roman" w:hAnsi="Times New Roman"/>
          <w:sz w:val="14"/>
          <w:szCs w:val="14"/>
          <w:color w:val="auto"/>
        </w:rPr>
      </w:pPr>
    </w:p>
    <w:p>
      <w:pPr>
        <w:ind w:left="2540" w:hanging="317"/>
        <w:spacing w:after="0"/>
        <w:tabs>
          <w:tab w:leader="none" w:pos="25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94" w:lineRule="exact"/>
        <w:rPr>
          <w:rFonts w:ascii="Times New Roman" w:cs="Times New Roman" w:eastAsia="Times New Roman" w:hAnsi="Times New Roman"/>
          <w:sz w:val="14"/>
          <w:szCs w:val="14"/>
          <w:color w:val="auto"/>
        </w:rPr>
      </w:pPr>
    </w:p>
    <w:p>
      <w:pPr>
        <w:ind w:left="2540" w:right="599" w:hanging="317"/>
        <w:spacing w:after="0" w:line="264" w:lineRule="auto"/>
        <w:tabs>
          <w:tab w:leader="none" w:pos="25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w:t>
      </w:r>
    </w:p>
    <w:p>
      <w:pPr>
        <w:spacing w:after="0" w:line="136" w:lineRule="exact"/>
        <w:rPr>
          <w:sz w:val="20"/>
          <w:szCs w:val="20"/>
          <w:color w:val="auto"/>
        </w:rPr>
      </w:pPr>
    </w:p>
    <w:p>
      <w:pPr>
        <w:ind w:left="1480" w:right="439" w:firstLine="333"/>
        <w:spacing w:after="0" w:line="248" w:lineRule="auto"/>
        <w:rPr>
          <w:sz w:val="20"/>
          <w:szCs w:val="20"/>
          <w:color w:val="auto"/>
        </w:rPr>
      </w:pPr>
      <w:r>
        <w:rPr>
          <w:rFonts w:ascii="Times New Roman" w:cs="Times New Roman" w:eastAsia="Times New Roman" w:hAnsi="Times New Roman"/>
          <w:sz w:val="14"/>
          <w:szCs w:val="14"/>
          <w:color w:val="auto"/>
        </w:rPr>
        <w:t>Singapore Securities and Futures Act Product Classification—Solely for the purposes of its obligations pursuant to sections 309B(1)(a) and 309B(1)(c) of the SFA, the issuers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88" w:lineRule="exact"/>
        <w:rPr>
          <w:sz w:val="20"/>
          <w:szCs w:val="20"/>
          <w:color w:val="auto"/>
        </w:rPr>
      </w:pPr>
    </w:p>
    <w:p>
      <w:pPr>
        <w:ind w:left="1480" w:right="419" w:firstLine="333"/>
        <w:spacing w:after="0" w:line="252" w:lineRule="auto"/>
        <w:rPr>
          <w:sz w:val="20"/>
          <w:szCs w:val="20"/>
          <w:color w:val="auto"/>
        </w:rPr>
      </w:pPr>
      <w:r>
        <w:rPr>
          <w:rFonts w:ascii="Times New Roman" w:cs="Times New Roman" w:eastAsia="Times New Roman" w:hAnsi="Times New Roman"/>
          <w:sz w:val="14"/>
          <w:szCs w:val="14"/>
          <w:color w:val="auto"/>
        </w:rPr>
        <w:t>The notes may be sold in Canada only to purchasers purchasing, or deemed to be purchasing, as principal that are accredited investors, as defined in National Instrument 45-106 Prospectus Exemptions or subsection</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73.3(1) of the Securities Act (Ontario), and are permitted clients, as defined in National Instrument 31-103</w:t>
      </w:r>
    </w:p>
    <w:p>
      <w:pPr>
        <w:spacing w:after="0" w:line="1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S-52</w:t>
      </w:r>
    </w:p>
    <w:p>
      <w:pPr>
        <w:sectPr>
          <w:pgSz w:w="11900" w:h="16838" w:orient="portrait"/>
          <w:cols w:equalWidth="0" w:num="1">
            <w:col w:w="10159"/>
          </w:cols>
          <w:pgMar w:left="300" w:top="37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59"/>
        <w:spacing w:after="0" w:line="264" w:lineRule="auto"/>
        <w:rPr>
          <w:sz w:val="20"/>
          <w:szCs w:val="20"/>
          <w:color w:val="auto"/>
        </w:rPr>
      </w:pPr>
      <w:r>
        <w:rPr>
          <w:rFonts w:ascii="Times New Roman" w:cs="Times New Roman" w:eastAsia="Times New Roman" w:hAnsi="Times New Roman"/>
          <w:sz w:val="14"/>
          <w:szCs w:val="14"/>
          <w:color w:val="auto"/>
        </w:rPr>
        <w:t>Registration Requirements, Exemptions and Ongoing Registrant Obligations. Any resale of the notes must be made in accordance with an exemption from, or in a transaction not subject to, the prospectus requirements of applicable securities laws.</w:t>
      </w:r>
    </w:p>
    <w:p>
      <w:pPr>
        <w:spacing w:after="0" w:line="136" w:lineRule="exact"/>
        <w:rPr>
          <w:sz w:val="20"/>
          <w:szCs w:val="20"/>
          <w:color w:val="auto"/>
        </w:rPr>
      </w:pPr>
    </w:p>
    <w:p>
      <w:pPr>
        <w:ind w:left="1480" w:right="359" w:firstLine="333"/>
        <w:spacing w:after="0" w:line="316" w:lineRule="auto"/>
        <w:rPr>
          <w:sz w:val="20"/>
          <w:szCs w:val="20"/>
          <w:color w:val="auto"/>
        </w:rPr>
      </w:pPr>
      <w:r>
        <w:rPr>
          <w:rFonts w:ascii="Times New Roman" w:cs="Times New Roman" w:eastAsia="Times New Roman" w:hAnsi="Times New Roman"/>
          <w:sz w:val="12"/>
          <w:szCs w:val="12"/>
          <w:color w:val="auto"/>
        </w:rPr>
        <w:t>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 purchaser within the time limit prescribed by the securities legislation of the purchaser’s province or territory.</w:t>
      </w:r>
    </w:p>
    <w:p>
      <w:pPr>
        <w:spacing w:after="0" w:line="109"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The purchaser should refer to any applicable provisions of the securities legislation of the purchaser’s province or territory for particulars of these rights or consult with a legal advisor.</w:t>
      </w:r>
    </w:p>
    <w:p>
      <w:pPr>
        <w:spacing w:after="0" w:line="136"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the Offering.</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Taiwan</w:t>
      </w:r>
    </w:p>
    <w:p>
      <w:pPr>
        <w:spacing w:after="0" w:line="88"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The notes have not been, and will not be, registered with the Financial Supervisory Commission of Taiwan, the Republic of China (“Taiwan”) pursuant to applicable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S-53</w:t>
      </w:r>
    </w:p>
    <w:p>
      <w:pPr>
        <w:sectPr>
          <w:pgSz w:w="11900" w:h="16838" w:orient="portrait"/>
          <w:cols w:equalWidth="0" w:num="1">
            <w:col w:w="10159"/>
          </w:cols>
          <w:pgMar w:left="300" w:top="37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ind w:left="1480" w:right="439" w:firstLine="333"/>
        <w:spacing w:after="0" w:line="248" w:lineRule="auto"/>
        <w:rPr>
          <w:sz w:val="20"/>
          <w:szCs w:val="20"/>
          <w:color w:val="auto"/>
        </w:rPr>
      </w:pPr>
      <w:r>
        <w:rPr>
          <w:rFonts w:ascii="Times New Roman" w:cs="Times New Roman" w:eastAsia="Times New Roman" w:hAnsi="Times New Roman"/>
          <w:sz w:val="14"/>
          <w:szCs w:val="14"/>
          <w:color w:val="auto"/>
        </w:rPr>
        <w:t>Certain legal matters in connection with the Offering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Management Company III, L.L.C. and Silver Lake Management Company IV, L.L.C. Certain legal matters in connection with the Offering will be passed upon for the underwriters by Cravath, Swaine &amp; Moore LLP, New York, New York.</w:t>
      </w: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639" w:firstLine="333"/>
        <w:spacing w:after="0" w:line="305" w:lineRule="auto"/>
        <w:rPr>
          <w:sz w:val="20"/>
          <w:szCs w:val="20"/>
          <w:color w:val="auto"/>
        </w:rPr>
      </w:pPr>
      <w:r>
        <w:rPr>
          <w:rFonts w:ascii="Times New Roman" w:cs="Times New Roman" w:eastAsia="Times New Roman" w:hAnsi="Times New Roman"/>
          <w:sz w:val="12"/>
          <w:szCs w:val="12"/>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10-K for the year ended January 30, 2026 have been so incorporated in reliance on the report of PricewaterhouseCoopers LLP, an independent registered public accounting firm, given on the authority of said firm as experts in auditing and accounting.</w:t>
      </w:r>
    </w:p>
    <w:p>
      <w:pPr>
        <w:spacing w:after="0" w:line="6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S-54</w:t>
      </w:r>
    </w:p>
    <w:p>
      <w:pPr>
        <w:sectPr>
          <w:pgSz w:w="11900" w:h="16838" w:orient="portrait"/>
          <w:cols w:equalWidth="0" w:num="1">
            <w:col w:w="10159"/>
          </w:cols>
          <w:pgMar w:left="300" w:top="37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128905</wp:posOffset>
            </wp:positionV>
            <wp:extent cx="2418715" cy="3308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418715"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Dell International L.L.C.</w:t>
      </w:r>
    </w:p>
    <w:p>
      <w:pPr>
        <w:spacing w:after="0" w:line="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EMC Corporation</w:t>
      </w:r>
    </w:p>
    <w:p>
      <w:pPr>
        <w:spacing w:after="0" w:line="1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185420</wp:posOffset>
            </wp:positionV>
            <wp:extent cx="110871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Dell International L.L.C. (“Dell International”) and EMC Corporation (“EMC” and, together with Dell International, the “Issuers”) may, from time to time, offer and sell debt securities. Debt securities issued by the Issuers may be guaranteed by Dell Technologies (as defined below) and any of the additional Registrant Guarantors named in the Table of Additional Registrant Guarantors (the “additional Registrant Guarantors”). Any debt securities issued will be the senior unsecured obligations of the Issuers, Dell Technologies and, as applicable, one or more of the additional Registrant Guarantors.</w:t>
      </w:r>
    </w:p>
    <w:p>
      <w:pPr>
        <w:spacing w:after="0" w:line="149" w:lineRule="exact"/>
        <w:rPr>
          <w:sz w:val="20"/>
          <w:szCs w:val="20"/>
          <w:color w:val="auto"/>
        </w:rPr>
      </w:pPr>
    </w:p>
    <w:p>
      <w:pPr>
        <w:jc w:val="both"/>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The Issuers may offer and sell these debt securities separately or together, in one or more series and in amounts, at prices and on terms described in one or more offerings. When the Issuers decide to sell a particular series of these debt securities, the terms of the debt securities, including the initial offering price and the aggregate amount of the offering, will be provided in one or more supplements to this prospectus. A prospectus supplement may also add, update or change information contained in this prospectus.</w:t>
      </w:r>
    </w:p>
    <w:p>
      <w:pPr>
        <w:spacing w:after="0" w:line="146"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The debt securities may be sold to or through one or more underwriters, dealers and agents, or directly to purchasers, on a continuous or delayed basis. The prospectus supplement for each offering of debt securities will describe in detail the plan of distribution for that offering. For general information about the distribution of securities offered, please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in this prospectus.</w:t>
      </w:r>
    </w:p>
    <w:p>
      <w:pPr>
        <w:spacing w:after="0" w:line="131" w:lineRule="exact"/>
        <w:rPr>
          <w:sz w:val="20"/>
          <w:szCs w:val="20"/>
          <w:color w:val="auto"/>
        </w:rPr>
      </w:pPr>
    </w:p>
    <w:p>
      <w:pPr>
        <w:jc w:val="both"/>
        <w:ind w:left="1480" w:right="359" w:firstLine="333"/>
        <w:spacing w:after="0" w:line="260" w:lineRule="auto"/>
        <w:rPr>
          <w:sz w:val="20"/>
          <w:szCs w:val="20"/>
          <w:color w:val="auto"/>
        </w:rPr>
      </w:pPr>
      <w:r>
        <w:rPr>
          <w:rFonts w:ascii="Times New Roman" w:cs="Times New Roman" w:eastAsia="Times New Roman" w:hAnsi="Times New Roman"/>
          <w:sz w:val="16"/>
          <w:szCs w:val="16"/>
          <w:b w:val="1"/>
          <w:bCs w:val="1"/>
          <w:color w:val="auto"/>
        </w:rPr>
        <w:t>Investing in securities registered hereby involves risks. See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color w:val="auto"/>
        </w:rPr>
        <w:t>” beginning on page 7 of this prospectus and any similar section contained in the applicable prospectus supplement concerning factors you should consider before investing in any securities.</w:t>
      </w:r>
    </w:p>
    <w:p>
      <w:pPr>
        <w:spacing w:after="0" w:line="129" w:lineRule="exact"/>
        <w:rPr>
          <w:sz w:val="20"/>
          <w:szCs w:val="20"/>
          <w:color w:val="auto"/>
        </w:rPr>
      </w:pPr>
    </w:p>
    <w:p>
      <w:pPr>
        <w:jc w:val="both"/>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Neither the United States (the “U.S.”) Securities and Exchange Commission (the “SEC”) nor any state securities commission has approved or disapproved of these securities or passed upon the accuracy or adequacy of this prospectus. Any representation to the contrary is a criminal offense.</w:t>
      </w:r>
    </w:p>
    <w:p>
      <w:pPr>
        <w:spacing w:after="0" w:line="1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The date of this prospectus is June 11, 2026.</w:t>
      </w:r>
    </w:p>
    <w:p>
      <w:pPr>
        <w:sectPr>
          <w:pgSz w:w="11900" w:h="16838" w:orient="portrait"/>
          <w:cols w:equalWidth="0" w:num="1">
            <w:col w:w="10159"/>
          </w:cols>
          <w:pgMar w:left="300" w:top="37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00" w:type="dxa"/>
            <w:vAlign w:val="bottom"/>
          </w:tcPr>
          <w:p>
            <w:pPr>
              <w:spacing w:after="0"/>
              <w:rPr>
                <w:sz w:val="15"/>
                <w:szCs w:val="15"/>
                <w:color w:val="auto"/>
              </w:rPr>
            </w:pPr>
          </w:p>
        </w:tc>
      </w:tr>
      <w:tr>
        <w:trPr>
          <w:trHeight w:val="284"/>
        </w:trPr>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6"/>
        </w:trPr>
        <w:tc>
          <w:tcPr>
            <w:tcW w:w="1200" w:type="dxa"/>
            <w:vAlign w:val="bottom"/>
            <w:tcBorders>
              <w:bottom w:val="single" w:sz="8" w:color="0000EE"/>
            </w:tcBorders>
            <w:gridSpan w:val="7"/>
          </w:tcPr>
          <w:p>
            <w:pPr>
              <w:spacing w:after="0" w:line="145" w:lineRule="exact"/>
              <w:rPr>
                <w:sz w:val="20"/>
                <w:szCs w:val="20"/>
                <w:color w:val="auto"/>
              </w:rPr>
            </w:pPr>
            <w:r>
              <w:rPr>
                <w:rFonts w:ascii="Times New Roman" w:cs="Times New Roman" w:eastAsia="Times New Roman" w:hAnsi="Times New Roman"/>
                <w:sz w:val="14"/>
                <w:szCs w:val="14"/>
                <w:color w:val="0000EE"/>
                <w:w w:val="95"/>
              </w:rPr>
              <w:t>About this Prospectus</w:t>
            </w:r>
          </w:p>
        </w:tc>
        <w:tc>
          <w:tcPr>
            <w:tcW w:w="5280" w:type="dxa"/>
            <w:vAlign w:val="bottom"/>
            <w:gridSpan w:val="9"/>
          </w:tcPr>
          <w:p>
            <w:pPr>
              <w:spacing w:after="0"/>
              <w:rPr>
                <w:sz w:val="12"/>
                <w:szCs w:val="12"/>
                <w:color w:val="auto"/>
              </w:rPr>
            </w:pPr>
          </w:p>
        </w:tc>
        <w:tc>
          <w:tcPr>
            <w:tcW w:w="1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r>
      <w:tr>
        <w:trPr>
          <w:trHeight w:val="143"/>
        </w:trPr>
        <w:tc>
          <w:tcPr>
            <w:tcW w:w="3140" w:type="dxa"/>
            <w:vAlign w:val="bottom"/>
            <w:tcBorders>
              <w:bottom w:val="single" w:sz="8" w:color="0000EE"/>
            </w:tcBorders>
            <w:gridSpan w:val="14"/>
          </w:tcPr>
          <w:p>
            <w:pPr>
              <w:spacing w:after="0" w:line="143" w:lineRule="exact"/>
              <w:rPr>
                <w:sz w:val="20"/>
                <w:szCs w:val="20"/>
                <w:color w:val="auto"/>
              </w:rPr>
            </w:pPr>
            <w:r>
              <w:rPr>
                <w:rFonts w:ascii="Times New Roman" w:cs="Times New Roman" w:eastAsia="Times New Roman" w:hAnsi="Times New Roman"/>
                <w:sz w:val="14"/>
                <w:szCs w:val="14"/>
                <w:color w:val="0000EE"/>
                <w:w w:val="96"/>
              </w:rPr>
              <w:t>Cautionary Note Regarding Forward-Looking Statements</w:t>
            </w:r>
          </w:p>
        </w:tc>
        <w:tc>
          <w:tcPr>
            <w:tcW w:w="3340" w:type="dxa"/>
            <w:vAlign w:val="bottom"/>
            <w:gridSpan w:val="2"/>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r>
      <w:tr>
        <w:trPr>
          <w:trHeight w:val="143"/>
        </w:trPr>
        <w:tc>
          <w:tcPr>
            <w:tcW w:w="140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5"/>
              </w:rPr>
              <w:t>Industry and Market Data</w:t>
            </w:r>
          </w:p>
        </w:tc>
        <w:tc>
          <w:tcPr>
            <w:tcW w:w="5080" w:type="dxa"/>
            <w:vAlign w:val="bottom"/>
            <w:gridSpan w:val="6"/>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r>
      <w:tr>
        <w:trPr>
          <w:trHeight w:val="143"/>
        </w:trPr>
        <w:tc>
          <w:tcPr>
            <w:tcW w:w="2760" w:type="dxa"/>
            <w:vAlign w:val="bottom"/>
            <w:tcBorders>
              <w:bottom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color w:val="0000EE"/>
                <w:w w:val="96"/>
              </w:rPr>
              <w:t>Trademarks and Other Intellectual Property Rights</w:t>
            </w:r>
          </w:p>
        </w:tc>
        <w:tc>
          <w:tcPr>
            <w:tcW w:w="3720" w:type="dxa"/>
            <w:vAlign w:val="bottom"/>
            <w:gridSpan w:val="3"/>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r>
      <w:tr>
        <w:trPr>
          <w:trHeight w:val="143"/>
        </w:trPr>
        <w:tc>
          <w:tcPr>
            <w:tcW w:w="116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6"/>
              </w:rPr>
              <w:t>Basis of Presentation</w:t>
            </w:r>
          </w:p>
        </w:tc>
        <w:tc>
          <w:tcPr>
            <w:tcW w:w="5320" w:type="dxa"/>
            <w:vAlign w:val="bottom"/>
            <w:gridSpan w:val="10"/>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r>
      <w:tr>
        <w:trPr>
          <w:trHeight w:val="143"/>
        </w:trPr>
        <w:tc>
          <w:tcPr>
            <w:tcW w:w="64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43"/>
        </w:trPr>
        <w:tc>
          <w:tcPr>
            <w:tcW w:w="64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143"/>
        </w:trPr>
        <w:tc>
          <w:tcPr>
            <w:tcW w:w="1240" w:type="dxa"/>
            <w:vAlign w:val="bottom"/>
            <w:tcBorders>
              <w:top w:val="single" w:sz="8" w:color="0000EE"/>
              <w:bottom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5"/>
              </w:rPr>
              <w:t>Dell Technologies Inc.</w:t>
            </w:r>
          </w:p>
        </w:tc>
        <w:tc>
          <w:tcPr>
            <w:tcW w:w="1520" w:type="dxa"/>
            <w:vAlign w:val="bottom"/>
            <w:tcBorders>
              <w:top w:val="single" w:sz="8" w:color="0000EE"/>
            </w:tcBorders>
            <w:gridSpan w:val="4"/>
          </w:tcPr>
          <w:p>
            <w:pPr>
              <w:spacing w:after="0"/>
              <w:rPr>
                <w:sz w:val="12"/>
                <w:szCs w:val="12"/>
                <w:color w:val="auto"/>
              </w:rPr>
            </w:pPr>
          </w:p>
        </w:tc>
        <w:tc>
          <w:tcPr>
            <w:tcW w:w="3720" w:type="dxa"/>
            <w:vAlign w:val="bottom"/>
            <w:gridSpan w:val="3"/>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r>
      <w:tr>
        <w:trPr>
          <w:trHeight w:val="143"/>
        </w:trPr>
        <w:tc>
          <w:tcPr>
            <w:tcW w:w="64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Dell International L.L.C., EMC Corporation and the Additional Registrant Guarantors</w:t>
            </w: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4680" w:type="dxa"/>
            <w:vAlign w:val="bottom"/>
            <w:tcBorders>
              <w:top w:val="single" w:sz="8" w:color="0000EE"/>
            </w:tcBorders>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Corporate Information</w:t>
            </w:r>
          </w:p>
        </w:tc>
        <w:tc>
          <w:tcPr>
            <w:tcW w:w="1800" w:type="dxa"/>
            <w:vAlign w:val="bottom"/>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1200" w:type="dxa"/>
            <w:vAlign w:val="bottom"/>
            <w:tcBorders>
              <w:top w:val="single" w:sz="8" w:color="0000EE"/>
              <w:bottom w:val="single" w:sz="8" w:color="0000EE"/>
            </w:tcBorders>
            <w:gridSpan w:val="7"/>
          </w:tcPr>
          <w:p>
            <w:pPr>
              <w:spacing w:after="0" w:line="143" w:lineRule="exact"/>
              <w:rPr>
                <w:sz w:val="20"/>
                <w:szCs w:val="20"/>
                <w:color w:val="auto"/>
              </w:rPr>
            </w:pPr>
            <w:r>
              <w:rPr>
                <w:rFonts w:ascii="Times New Roman" w:cs="Times New Roman" w:eastAsia="Times New Roman" w:hAnsi="Times New Roman"/>
                <w:sz w:val="14"/>
                <w:szCs w:val="14"/>
                <w:color w:val="0000EE"/>
                <w:w w:val="95"/>
              </w:rPr>
              <w:t>Recent Developments</w:t>
            </w:r>
          </w:p>
        </w:tc>
        <w:tc>
          <w:tcPr>
            <w:tcW w:w="20" w:type="dxa"/>
            <w:vAlign w:val="bottom"/>
            <w:tcBorders>
              <w:top w:val="single" w:sz="8" w:color="0000EE"/>
            </w:tcBorders>
          </w:tcPr>
          <w:p>
            <w:pPr>
              <w:spacing w:after="0"/>
              <w:rPr>
                <w:sz w:val="12"/>
                <w:szCs w:val="12"/>
                <w:color w:val="auto"/>
              </w:rPr>
            </w:pPr>
          </w:p>
        </w:tc>
        <w:tc>
          <w:tcPr>
            <w:tcW w:w="5260" w:type="dxa"/>
            <w:vAlign w:val="bottom"/>
            <w:gridSpan w:val="8"/>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64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43"/>
        </w:trPr>
        <w:tc>
          <w:tcPr>
            <w:tcW w:w="64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43"/>
        </w:trPr>
        <w:tc>
          <w:tcPr>
            <w:tcW w:w="64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r>
      <w:tr>
        <w:trPr>
          <w:trHeight w:val="143"/>
        </w:trPr>
        <w:tc>
          <w:tcPr>
            <w:tcW w:w="1080" w:type="dxa"/>
            <w:vAlign w:val="bottom"/>
            <w:tcBorders>
              <w:top w:val="single" w:sz="8" w:color="0000EE"/>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560" w:type="dxa"/>
            <w:vAlign w:val="bottom"/>
            <w:tcBorders>
              <w:top w:val="single" w:sz="8" w:color="0000EE"/>
            </w:tcBorders>
            <w:gridSpan w:val="7"/>
          </w:tcPr>
          <w:p>
            <w:pPr>
              <w:spacing w:after="0"/>
              <w:rPr>
                <w:sz w:val="12"/>
                <w:szCs w:val="12"/>
                <w:color w:val="auto"/>
              </w:rPr>
            </w:pPr>
          </w:p>
        </w:tc>
        <w:tc>
          <w:tcPr>
            <w:tcW w:w="4840" w:type="dxa"/>
            <w:vAlign w:val="bottom"/>
            <w:gridSpan w:val="5"/>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w:t>
            </w:r>
          </w:p>
        </w:tc>
      </w:tr>
      <w:tr>
        <w:trPr>
          <w:trHeight w:val="143"/>
        </w:trPr>
        <w:tc>
          <w:tcPr>
            <w:tcW w:w="64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Validity of Securities</w:t>
            </w: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r>
      <w:tr>
        <w:trPr>
          <w:trHeight w:val="143"/>
        </w:trPr>
        <w:tc>
          <w:tcPr>
            <w:tcW w:w="420" w:type="dxa"/>
            <w:vAlign w:val="bottom"/>
            <w:tcBorders>
              <w:top w:val="single" w:sz="8" w:color="0000EE"/>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3"/>
              </w:rPr>
              <w:t>Experts</w:t>
            </w:r>
          </w:p>
        </w:tc>
        <w:tc>
          <w:tcPr>
            <w:tcW w:w="720" w:type="dxa"/>
            <w:vAlign w:val="bottom"/>
            <w:tcBorders>
              <w:top w:val="single" w:sz="8" w:color="0000EE"/>
            </w:tcBorders>
            <w:gridSpan w:val="4"/>
          </w:tcPr>
          <w:p>
            <w:pPr>
              <w:spacing w:after="0"/>
              <w:rPr>
                <w:sz w:val="12"/>
                <w:szCs w:val="12"/>
                <w:color w:val="auto"/>
              </w:rPr>
            </w:pPr>
          </w:p>
        </w:tc>
        <w:tc>
          <w:tcPr>
            <w:tcW w:w="5340" w:type="dxa"/>
            <w:vAlign w:val="bottom"/>
            <w:gridSpan w:val="11"/>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r>
    </w:tbl>
    <w:p>
      <w:pPr>
        <w:spacing w:after="0" w:line="167" w:lineRule="exact"/>
        <w:rPr>
          <w:sz w:val="20"/>
          <w:szCs w:val="20"/>
          <w:color w:val="auto"/>
        </w:rPr>
      </w:pPr>
    </w:p>
    <w:p>
      <w:pPr>
        <w:jc w:val="both"/>
        <w:ind w:left="1480" w:right="359" w:firstLine="333"/>
        <w:spacing w:after="0" w:line="247" w:lineRule="auto"/>
        <w:rPr>
          <w:sz w:val="20"/>
          <w:szCs w:val="20"/>
          <w:color w:val="auto"/>
        </w:rPr>
      </w:pPr>
      <w:r>
        <w:rPr>
          <w:rFonts w:ascii="Times New Roman" w:cs="Times New Roman" w:eastAsia="Times New Roman" w:hAnsi="Times New Roman"/>
          <w:sz w:val="14"/>
          <w:szCs w:val="14"/>
          <w:b w:val="1"/>
          <w:bCs w:val="1"/>
          <w:color w:val="auto"/>
        </w:rPr>
        <w:t>We have not authorized anyone to provide any information or make any representations other than those contained in this prospectus, the related registration statement, in any applicable prospectus supplement, free writing prospectus or in the materials that we have incorporated by reference into this prospectus and any applicable prospectus supplement. We have not authorized anyone to provide you with different information. The Issuers are not making an offer of these securities in any jurisdiction where the offer is not permitted. You should not assume that the information in this prospectus, any applicable prospectus supplement, any such free writing prospectus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7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0" w:lineRule="exact"/>
        <w:rPr>
          <w:sz w:val="20"/>
          <w:szCs w:val="20"/>
          <w:color w:val="auto"/>
        </w:rPr>
      </w:pPr>
    </w:p>
    <w:p>
      <w:pPr>
        <w:jc w:val="both"/>
        <w:ind w:left="1480" w:right="339" w:firstLine="333"/>
        <w:spacing w:after="0" w:line="245"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the Issuers, Dell Technologies and the additional Registrant Guarantors filed with the SEC, as Dell Technologies is a “well-known seasoned issuer” as defined in Rule 405 under the Securities Act of 1933, as amended (the “Securities Act”). This prospectus provides you with a general description of the securities the Issuers, Dell Technologies and the additional Registrant Guarantors may offer. Each time this prospectus is used to offer securities, a prospectus supplement will be provided and, if applicable, a pricing supplement. The prospectus supplement and any applicable pricing supplement will describe the specific amounts, prices and other material terms of the securities being offered at that time. The prospectus supplement and any applicable pricing supplement may also add, update or change the information in this prospectus. You should read this prospectus, the applicable prospectus supplement and any applicable pricing supplement, together with the information contained in the documents referred to under the heading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If there is any inconsistency between information in this prospectus and any prospectus supplement or free writing prospectus, you should rely on the information in the applicable prospectus supplement or free writing prospectus.</w:t>
      </w:r>
    </w:p>
    <w:p>
      <w:pPr>
        <w:spacing w:after="0" w:line="3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0" w:lineRule="exact"/>
        <w:rPr>
          <w:sz w:val="20"/>
          <w:szCs w:val="20"/>
          <w:color w:val="auto"/>
        </w:rPr>
      </w:pPr>
    </w:p>
    <w:p>
      <w:pPr>
        <w:jc w:val="both"/>
        <w:ind w:left="1480" w:right="339" w:firstLine="333"/>
        <w:spacing w:after="0" w:line="292" w:lineRule="auto"/>
        <w:rPr>
          <w:sz w:val="20"/>
          <w:szCs w:val="20"/>
          <w:color w:val="auto"/>
        </w:rPr>
      </w:pPr>
      <w:r>
        <w:rPr>
          <w:rFonts w:ascii="Times New Roman" w:cs="Times New Roman" w:eastAsia="Times New Roman" w:hAnsi="Times New Roman"/>
          <w:sz w:val="12"/>
          <w:szCs w:val="12"/>
          <w:color w:val="auto"/>
        </w:rPr>
        <w:t>This prospectus and the documents incorporated by reference herein contain “forward-looking statements” within the meaning of Section 27A of the Securities Act and Section 21E of the Securities Exchange Act of 1934, as amended (the “Exchange Act”). The words “may,” “will,” “anticipate,” “estimate,” “expect,” “intend,” “plan,” “aim,” “seek,”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in our Annual Report (the “Annual Report”) on Form 10-K for the fiscal year ended January 30, 2026, in this prospectus and in our other periodic and current reports filed with the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86" w:lineRule="exact"/>
        <w:rPr>
          <w:sz w:val="20"/>
          <w:szCs w:val="20"/>
          <w:color w:val="auto"/>
        </w:rPr>
      </w:pPr>
    </w:p>
    <w:p>
      <w:pPr>
        <w:jc w:val="both"/>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These statements regarding future events or our future performance or results inherently are subject to a variety of risks, contingencies and other uncertainties that could cause actual results, performance or achievements to differ materially from those described in or implied by the forward-looking statements. The risks, contingencies and other uncertainties that could cause our business and actual results of operations, financial condition and prospects to differ materially from our expectations include, but are not limited to:</w:t>
      </w:r>
    </w:p>
    <w:p>
      <w:pPr>
        <w:spacing w:after="0" w:line="75" w:lineRule="exact"/>
        <w:rPr>
          <w:sz w:val="20"/>
          <w:szCs w:val="20"/>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global economic conditions and instability in financial markets;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pressures;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of our business units;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our product and component vendors;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single-source or limited-source suppliers;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demands for artificial intelligence (“AI”) solutions;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of our AI solutions and use of AI in our internal functions and operations;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deliver high-quality products, software, and services, or to manage solutions and product and services transitions in an effective manner;</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successfully implement our cost efficiency plans;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incidents, including cyber-attacks;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foreign operations and ability to generate substantial non-U.S. net revenue;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service, customer, and geographic sales mix and seasonal sales trends;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our sales channel partners;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acquisitions and dispositions we pursue;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the capital markets by us or our customers;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 economic conditions, changing customer mix, and additional regulation;</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default risks;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impairments to our goodwill or intangible assets;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or reduction of services or rates under, any contracts with our customers, including government contracts, and our ability to perform such contracts at our estimated costs;</w:t>
      </w:r>
    </w:p>
    <w:p>
      <w:pPr>
        <w:spacing w:after="0" w:line="6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protect our proprietary intellectual property or obtain licenses to intellectual property developed by others on commercially reasonable and competitive terms;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disruptions, including disruptions to our information technology and manufacturing infrastructure;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hedge our exposure to fluctuations in foreign currency exchange rates and interest rates;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legislative or regulatory tax changes, expiration of tax holidays or favorable tax rate structures, or unfavorable outcomes in tax audits and other tax compliance matters;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fair value or impairment of portfolio investments;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results of legal proceedings;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and varied stakeholder expectations and regulatory requirements with respect to sustainability and environmental, social, and governance activities;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climate-related risks and legal, regulatory, or market measures related to climate;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changing environmental and safety laws;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requirements of anti-corruption laws, economic sanctions and other trade laws, human rights laws and other laws regulating our international operations;</w:t>
      </w:r>
    </w:p>
    <w:p>
      <w:pPr>
        <w:spacing w:after="0" w:line="6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the services of our Chief Executive Officer and our loss of, or inability to continue to attract, retain and motivate, executive talent and other employees;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indebtedness; and</w:t>
      </w:r>
    </w:p>
    <w:p>
      <w:pPr>
        <w:spacing w:after="0" w:line="92"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included in or incorporated by reference into this prospectus.</w:t>
      </w:r>
    </w:p>
    <w:p>
      <w:pPr>
        <w:spacing w:after="0" w:line="168" w:lineRule="exact"/>
        <w:rPr>
          <w:sz w:val="20"/>
          <w:szCs w:val="20"/>
          <w:color w:val="auto"/>
        </w:rPr>
      </w:pPr>
    </w:p>
    <w:p>
      <w:pPr>
        <w:jc w:val="both"/>
        <w:ind w:left="1480" w:right="339" w:firstLine="333"/>
        <w:spacing w:after="0" w:line="247" w:lineRule="auto"/>
        <w:rPr>
          <w:sz w:val="20"/>
          <w:szCs w:val="20"/>
          <w:color w:val="auto"/>
        </w:rPr>
      </w:pPr>
      <w:r>
        <w:rPr>
          <w:rFonts w:ascii="Times New Roman" w:cs="Times New Roman" w:eastAsia="Times New Roman" w:hAnsi="Times New Roman"/>
          <w:sz w:val="14"/>
          <w:szCs w:val="14"/>
          <w:color w:val="auto"/>
        </w:rPr>
        <w:t>Because of these risks, contingencies and other uncertainties, you are cautioned not to place undue reliance on these forward-looking statements, which speak only as of the date made. All subsequent written or oral forward-looking statements attributable to us or any person acting on our behalf are expressly qualified in their entirety by the cautionary statements contained or referred to in this section. While we may elect to update forward-looking statements in the future, we specifically disclaim any obligation to do so, even if our expectations change or if new events, circumstances or information arises, and investors should not rely on those forward-looking statements as representing our views as of any date subsequent to the date of this prospectus, except as may be required under applicable federal securities law.</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INDUSTRY AND MARKET DATA</w:t>
      </w:r>
    </w:p>
    <w:p>
      <w:pPr>
        <w:spacing w:after="0" w:line="170" w:lineRule="exact"/>
        <w:rPr>
          <w:sz w:val="20"/>
          <w:szCs w:val="20"/>
          <w:color w:val="auto"/>
        </w:rPr>
      </w:pPr>
    </w:p>
    <w:p>
      <w:pPr>
        <w:jc w:val="both"/>
        <w:ind w:left="1480" w:right="339" w:firstLine="333"/>
        <w:spacing w:after="0" w:line="246"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include information with respect to market share and other industry-related and statistical information, which are based on information from independent industry organizations and other third-party sources. We also have derived some industry and market information from our internal analysis based upon data available from such independent and third-party sources and our internal research. We believe such information to be accurate as of their respective dates. However, this information is subject to the limits on the availability and reliability of raw data, the voluntary nature of the data gathering process and other limitations and uncertainties. In addition, our internal research is based upon our understanding of industry conditions, and such information has not been verified by any independent sources. We cannot guarantee the accuracy or completeness of any such information contained or incorporated by reference in this prospectus. Such information also involves risks and uncertainties and is subject to change based on various factors, including those discussed under the heading “</w:t>
      </w:r>
      <w:r>
        <w:rPr>
          <w:rFonts w:ascii="Times New Roman" w:cs="Times New Roman" w:eastAsia="Times New Roman" w:hAnsi="Times New Roman"/>
          <w:sz w:val="14"/>
          <w:szCs w:val="14"/>
          <w:i w:val="1"/>
          <w:iCs w:val="1"/>
          <w:color w:val="auto"/>
        </w:rPr>
        <w:t>Cautionary Note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Regarding Forward-Looking Statements</w:t>
      </w:r>
      <w:r>
        <w:rPr>
          <w:rFonts w:ascii="Times New Roman" w:cs="Times New Roman" w:eastAsia="Times New Roman" w:hAnsi="Times New Roman"/>
          <w:sz w:val="14"/>
          <w:szCs w:val="14"/>
          <w:color w:val="auto"/>
        </w:rPr>
        <w:t>.”</w:t>
      </w:r>
    </w:p>
    <w:p>
      <w:pPr>
        <w:spacing w:after="0" w:line="30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TRADEMARKS AND OTHER INTELLECTUAL PROPERTY RIGHTS</w:t>
      </w:r>
    </w:p>
    <w:p>
      <w:pPr>
        <w:spacing w:after="0" w:line="170" w:lineRule="exact"/>
        <w:rPr>
          <w:sz w:val="20"/>
          <w:szCs w:val="20"/>
          <w:color w:val="auto"/>
        </w:rPr>
      </w:pPr>
    </w:p>
    <w:p>
      <w:pPr>
        <w:jc w:val="both"/>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We own or have rights to trademarks, service marks or trade names that we use in connection with the operation of our business. Certain trademarks and/or trade names are subject to registrations or applications to register with the United States Patent and Trademark Office or the equivalent in certain foreign jurisdictions, while others are not subject to registration but are protected by common law rights. These registered and unregistered marks include our corporate names, logos, and website names used herein. Each trademark, service mark, or trade name by any other company appearing in this prospectus or any accompanying prospectus supplement (or in documents we have incorporated by reference) belongs to its owner.</w:t>
      </w:r>
    </w:p>
    <w:p>
      <w:pPr>
        <w:spacing w:after="0" w:line="150" w:lineRule="exact"/>
        <w:rPr>
          <w:sz w:val="20"/>
          <w:szCs w:val="20"/>
          <w:color w:val="auto"/>
        </w:rPr>
      </w:pPr>
    </w:p>
    <w:p>
      <w:pPr>
        <w:jc w:val="both"/>
        <w:ind w:left="1480" w:right="339" w:firstLine="333"/>
        <w:spacing w:after="0" w:line="227" w:lineRule="auto"/>
        <w:rPr>
          <w:sz w:val="20"/>
          <w:szCs w:val="20"/>
          <w:color w:val="auto"/>
        </w:rPr>
      </w:pPr>
      <w:r>
        <w:rPr>
          <w:rFonts w:ascii="Times New Roman" w:cs="Times New Roman" w:eastAsia="Times New Roman" w:hAnsi="Times New Roman"/>
          <w:sz w:val="14"/>
          <w:szCs w:val="14"/>
          <w:color w:val="auto"/>
        </w:rPr>
        <w:t xml:space="preserve">Solely for convenience, trademarks, service marks, and trade names referred to in this prospectus or any accompanying prospectus supplement (or in documents we have incorporated by reference)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under applicable law, our rights or the right of the applicable licensors to these trademarks, service marks or trade names. We do not intend our use or display of other parties’ trademarks, service marks or trade names to imply, and such use or display should not be construed to imply, a relationship with, or endorsement or sponsorship of us by, those other parties.</w:t>
      </w:r>
    </w:p>
    <w:p>
      <w:pPr>
        <w:spacing w:after="0" w:line="31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70" w:lineRule="exact"/>
        <w:rPr>
          <w:sz w:val="20"/>
          <w:szCs w:val="20"/>
          <w:color w:val="auto"/>
        </w:rPr>
      </w:pPr>
    </w:p>
    <w:p>
      <w:pPr>
        <w:jc w:val="both"/>
        <w:ind w:left="1480" w:right="339" w:firstLine="333"/>
        <w:spacing w:after="0" w:line="250" w:lineRule="auto"/>
        <w:rPr>
          <w:sz w:val="20"/>
          <w:szCs w:val="20"/>
          <w:color w:val="auto"/>
        </w:rPr>
      </w:pPr>
      <w:r>
        <w:rPr>
          <w:rFonts w:ascii="Times New Roman" w:cs="Times New Roman" w:eastAsia="Times New Roman" w:hAnsi="Times New Roman"/>
          <w:sz w:val="14"/>
          <w:szCs w:val="14"/>
          <w:color w:val="auto"/>
        </w:rPr>
        <w:t>This prospectus includes and incorporates by reference the historical consolidated financial statements and other financial data of Dell Technologies, which may guarantee any debt securities offered pursuant to the registration statement of which this prospectus forms a part. Each of the Issuers is a direct wholly-owned subsidiary of Dell Inc., an additional Registrant Guarantor, and an indirect wholly-owned subsidiary of Dell Technologies. No separate financial information has been provided in this prospectus for Dell International or EMC.</w:t>
      </w:r>
    </w:p>
    <w:p>
      <w:pPr>
        <w:spacing w:after="0" w:line="146" w:lineRule="exact"/>
        <w:rPr>
          <w:sz w:val="20"/>
          <w:szCs w:val="20"/>
          <w:color w:val="auto"/>
        </w:rPr>
      </w:pPr>
    </w:p>
    <w:p>
      <w:pPr>
        <w:jc w:val="both"/>
        <w:ind w:left="1480" w:right="359" w:firstLine="333"/>
        <w:spacing w:after="0" w:line="349" w:lineRule="auto"/>
        <w:rPr>
          <w:sz w:val="20"/>
          <w:szCs w:val="20"/>
          <w:color w:val="auto"/>
        </w:rPr>
      </w:pPr>
      <w:r>
        <w:rPr>
          <w:rFonts w:ascii="Times New Roman" w:cs="Times New Roman" w:eastAsia="Times New Roman" w:hAnsi="Times New Roman"/>
          <w:sz w:val="12"/>
          <w:szCs w:val="12"/>
          <w:color w:val="auto"/>
        </w:rPr>
        <w:t>Unless otherwise mentioned or unless the context requires otherwise, when used in this prospectus, the terms “Dell Technologies,” “we,” “our,” or “us” refer to Dell Technologies Inc., a Delaware corporation, or, as the context requires, to Dell Technologies Inc. and its consolidated subsidiaries.</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jc w:val="both"/>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filings with the SEC, including the filings that are incorporated by reference into this prospectus, are available to the public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Investors also may consult our website for more information. Our website is </w:t>
      </w:r>
      <w:r>
        <w:rPr>
          <w:rFonts w:ascii="Times New Roman" w:cs="Times New Roman" w:eastAsia="Times New Roman" w:hAnsi="Times New Roman"/>
          <w:sz w:val="14"/>
          <w:szCs w:val="14"/>
          <w:i w:val="1"/>
          <w:iCs w:val="1"/>
          <w:color w:val="auto"/>
        </w:rPr>
        <w:t>www.dell.com</w:t>
      </w:r>
      <w:r>
        <w:rPr>
          <w:rFonts w:ascii="Times New Roman" w:cs="Times New Roman" w:eastAsia="Times New Roman" w:hAnsi="Times New Roman"/>
          <w:sz w:val="14"/>
          <w:szCs w:val="14"/>
          <w:color w:val="auto"/>
        </w:rPr>
        <w:t xml:space="preserve"> and the Investors page of our website is </w:t>
      </w:r>
      <w:r>
        <w:rPr>
          <w:rFonts w:ascii="Times New Roman" w:cs="Times New Roman" w:eastAsia="Times New Roman" w:hAnsi="Times New Roman"/>
          <w:sz w:val="14"/>
          <w:szCs w:val="14"/>
          <w:i w:val="1"/>
          <w:iCs w:val="1"/>
          <w:color w:val="auto"/>
        </w:rPr>
        <w:t>https://investors.delltechnologies.com</w:t>
      </w:r>
      <w:r>
        <w:rPr>
          <w:rFonts w:ascii="Times New Roman" w:cs="Times New Roman" w:eastAsia="Times New Roman" w:hAnsi="Times New Roman"/>
          <w:sz w:val="14"/>
          <w:szCs w:val="14"/>
          <w:color w:val="auto"/>
        </w:rPr>
        <w:t>. The information contained in, or that may be accessed through, our website is not incorporated by reference into this prospectus or any prospectus supplement.</w:t>
      </w:r>
    </w:p>
    <w:p>
      <w:pPr>
        <w:spacing w:after="0" w:line="30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0"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This prospectus is part of the registration statement and does not contain all of the information included in the registration statement. Whenever a reference is made in this prospectus to any contract or other document of Dell Technologies or its subsidiaries, the reference may not be complete and you should refer to the exhibits that are a part of the registration statement for a copy of the contract or document.</w:t>
      </w:r>
    </w:p>
    <w:p>
      <w:pPr>
        <w:spacing w:after="0" w:line="142" w:lineRule="exact"/>
        <w:rPr>
          <w:sz w:val="20"/>
          <w:szCs w:val="20"/>
          <w:color w:val="auto"/>
        </w:rPr>
      </w:pPr>
    </w:p>
    <w:p>
      <w:pPr>
        <w:jc w:val="both"/>
        <w:ind w:left="1480" w:right="339" w:firstLine="333"/>
        <w:spacing w:after="0" w:line="248" w:lineRule="auto"/>
        <w:rPr>
          <w:sz w:val="20"/>
          <w:szCs w:val="20"/>
          <w:color w:val="auto"/>
        </w:rPr>
      </w:pPr>
      <w:r>
        <w:rPr>
          <w:rFonts w:ascii="Times New Roman" w:cs="Times New Roman" w:eastAsia="Times New Roman" w:hAnsi="Times New Roman"/>
          <w:sz w:val="14"/>
          <w:szCs w:val="14"/>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later information that we file with the SEC (including any prospectus supplement) will automatically update and supersede this information. We incorporate by reference the documents listed below (other than documents or information deemed to have been furnished and not filed in accordance with SEC rules, unless otherwise expressly incorporated by reference herein):</w:t>
      </w:r>
    </w:p>
    <w:p>
      <w:pPr>
        <w:spacing w:after="0" w:line="77" w:lineRule="exact"/>
        <w:rPr>
          <w:sz w:val="20"/>
          <w:szCs w:val="20"/>
          <w:color w:val="auto"/>
        </w:rPr>
      </w:pPr>
    </w:p>
    <w:p>
      <w:pPr>
        <w:jc w:val="both"/>
        <w:ind w:left="2220" w:right="359" w:hanging="334"/>
        <w:spacing w:after="0" w:line="254" w:lineRule="auto"/>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 Technologies’ Annual Report on </w:t>
      </w:r>
      <w:hyperlink r:id="rId8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January 30, 2026 (including information specifically incorporated by reference into such Annual Report on Form 10-K from our </w:t>
      </w:r>
      <w:hyperlink r:id="rId20">
        <w:r>
          <w:rPr>
            <w:rFonts w:ascii="Times New Roman" w:cs="Times New Roman" w:eastAsia="Times New Roman" w:hAnsi="Times New Roman"/>
            <w:sz w:val="14"/>
            <w:szCs w:val="14"/>
            <w:u w:val="single" w:color="auto"/>
            <w:color w:val="0000EE"/>
          </w:rPr>
          <w:t>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our 2026 Annual Meeting of Stockholders filed on May 15, 2026);</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 Technologies’ Quarterly Report on </w:t>
      </w:r>
      <w:hyperlink r:id="rId88">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May 1, 2026; and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 Technologies’ Current Reports on Form 8-K filed with the SEC on </w:t>
      </w:r>
      <w:hyperlink r:id="rId89">
        <w:r>
          <w:rPr>
            <w:rFonts w:ascii="Times New Roman" w:cs="Times New Roman" w:eastAsia="Times New Roman" w:hAnsi="Times New Roman"/>
            <w:sz w:val="14"/>
            <w:szCs w:val="14"/>
            <w:u w:val="single" w:color="auto"/>
            <w:color w:val="0000EE"/>
          </w:rPr>
          <w:t>April 20,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0">
        <w:r>
          <w:rPr>
            <w:rFonts w:ascii="Times New Roman" w:cs="Times New Roman" w:eastAsia="Times New Roman" w:hAnsi="Times New Roman"/>
            <w:sz w:val="14"/>
            <w:szCs w:val="14"/>
            <w:u w:val="single" w:color="auto"/>
            <w:color w:val="0000EE"/>
          </w:rPr>
          <w:t>June 10, 2026</w:t>
        </w:r>
      </w:hyperlink>
      <w:r>
        <w:rPr>
          <w:rFonts w:ascii="Times New Roman" w:cs="Times New Roman" w:eastAsia="Times New Roman" w:hAnsi="Times New Roman"/>
          <w:sz w:val="14"/>
          <w:szCs w:val="14"/>
          <w:color w:val="auto"/>
        </w:rPr>
        <w:t>.</w:t>
      </w:r>
    </w:p>
    <w:p>
      <w:pPr>
        <w:spacing w:after="0" w:line="166" w:lineRule="exact"/>
        <w:rPr>
          <w:rFonts w:ascii="Times New Roman" w:cs="Times New Roman" w:eastAsia="Times New Roman" w:hAnsi="Times New Roman"/>
          <w:sz w:val="14"/>
          <w:szCs w:val="14"/>
          <w:color w:val="auto"/>
        </w:rPr>
      </w:pPr>
    </w:p>
    <w:p>
      <w:pPr>
        <w:jc w:val="both"/>
        <w:ind w:left="1480" w:right="339" w:firstLine="333"/>
        <w:spacing w:after="0" w:line="254" w:lineRule="auto"/>
        <w:rPr>
          <w:sz w:val="20"/>
          <w:szCs w:val="20"/>
          <w:color w:val="auto"/>
        </w:rPr>
      </w:pPr>
      <w:r>
        <w:rPr>
          <w:rFonts w:ascii="Times New Roman" w:cs="Times New Roman" w:eastAsia="Times New Roman" w:hAnsi="Times New Roman"/>
          <w:sz w:val="14"/>
          <w:szCs w:val="14"/>
          <w:color w:val="auto"/>
        </w:rPr>
        <w:t>We also incorporate by reference all documents that we subsequently file with the SEC pursuant to Section 13(a), 13(c), 14 or 15(d) of the Exchange Act on or after the date of this prospectus and prior to the termination of the offering of the securities hereunder. Nothing in this prospectus shall be deemed to incorporate information furnished but not filed with the SEC, unless specifically noted otherwise.</w:t>
      </w:r>
    </w:p>
    <w:p>
      <w:pPr>
        <w:spacing w:after="0" w:line="142" w:lineRule="exact"/>
        <w:rPr>
          <w:rFonts w:ascii="Times New Roman" w:cs="Times New Roman" w:eastAsia="Times New Roman" w:hAnsi="Times New Roman"/>
          <w:sz w:val="14"/>
          <w:szCs w:val="14"/>
          <w:color w:val="auto"/>
        </w:rPr>
      </w:pPr>
    </w:p>
    <w:p>
      <w:pPr>
        <w:jc w:val="both"/>
        <w:ind w:left="1480" w:right="339" w:firstLine="333"/>
        <w:spacing w:after="0" w:line="250" w:lineRule="auto"/>
        <w:rPr>
          <w:sz w:val="20"/>
          <w:szCs w:val="20"/>
          <w:color w:val="auto"/>
        </w:rPr>
      </w:pPr>
      <w:r>
        <w:rPr>
          <w:rFonts w:ascii="Times New Roman" w:cs="Times New Roman" w:eastAsia="Times New Roman" w:hAnsi="Times New Roman"/>
          <w:sz w:val="14"/>
          <w:szCs w:val="14"/>
          <w:color w:val="auto"/>
        </w:rPr>
        <w:t>Any statement made in this prospectus or in a document incorporated by reference into this prospectus will be deemed to be modified or superseded for purposes of this prospectus to the extent that a statement contained in this prospectus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146" w:lineRule="exact"/>
        <w:rPr>
          <w:rFonts w:ascii="Times New Roman" w:cs="Times New Roman" w:eastAsia="Times New Roman" w:hAnsi="Times New Roman"/>
          <w:sz w:val="14"/>
          <w:szCs w:val="14"/>
          <w:color w:val="auto"/>
        </w:rPr>
      </w:pPr>
    </w:p>
    <w:p>
      <w:pPr>
        <w:jc w:val="both"/>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3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Dell Technologies Inc.</w:t>
      </w:r>
    </w:p>
    <w:p>
      <w:pPr>
        <w:spacing w:after="0" w:line="1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One Dell Way</w:t>
      </w:r>
    </w:p>
    <w:p>
      <w:pPr>
        <w:spacing w:after="0" w:line="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Round Rock, Texas 78682</w:t>
      </w:r>
    </w:p>
    <w:p>
      <w:pPr>
        <w:spacing w:after="0" w:line="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Telephone: (512) 728-7800</w:t>
      </w:r>
    </w:p>
    <w:p>
      <w:pPr>
        <w:spacing w:after="0" w:line="152" w:lineRule="exact"/>
        <w:rPr>
          <w:rFonts w:ascii="Times New Roman" w:cs="Times New Roman" w:eastAsia="Times New Roman" w:hAnsi="Times New Roman"/>
          <w:sz w:val="14"/>
          <w:szCs w:val="14"/>
          <w:color w:val="auto"/>
        </w:rPr>
      </w:pPr>
    </w:p>
    <w:p>
      <w:pPr>
        <w:jc w:val="both"/>
        <w:ind w:left="1480" w:right="359" w:firstLine="333"/>
        <w:spacing w:after="0" w:line="267" w:lineRule="auto"/>
        <w:rPr>
          <w:sz w:val="20"/>
          <w:szCs w:val="20"/>
          <w:color w:val="auto"/>
        </w:rPr>
      </w:pPr>
      <w:r>
        <w:rPr>
          <w:rFonts w:ascii="Times New Roman" w:cs="Times New Roman" w:eastAsia="Times New Roman" w:hAnsi="Times New Roman"/>
          <w:sz w:val="14"/>
          <w:szCs w:val="14"/>
          <w:color w:val="auto"/>
        </w:rPr>
        <w:t>In addition, you may access the documents incorporated by reference herein free of charge on the SEC’s website. See also “</w:t>
      </w:r>
      <w:r>
        <w:rPr>
          <w:rFonts w:ascii="Times New Roman" w:cs="Times New Roman" w:eastAsia="Times New Roman" w:hAnsi="Times New Roman"/>
          <w:sz w:val="14"/>
          <w:szCs w:val="14"/>
          <w:i w:val="1"/>
          <w:iCs w:val="1"/>
          <w:color w:val="auto"/>
        </w:rPr>
        <w:t>Where You Can Find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More Information</w:t>
      </w:r>
      <w:r>
        <w:rPr>
          <w:rFonts w:ascii="Times New Roman" w:cs="Times New Roman" w:eastAsia="Times New Roman" w:hAnsi="Times New Roman"/>
          <w:sz w:val="14"/>
          <w:szCs w:val="14"/>
          <w:color w:val="auto"/>
        </w:rPr>
        <w:t>.”</w:t>
      </w:r>
    </w:p>
    <w:p>
      <w:pPr>
        <w:spacing w:after="0" w:line="83" w:lineRule="exact"/>
        <w:rPr>
          <w:rFonts w:ascii="Times New Roman" w:cs="Times New Roman" w:eastAsia="Times New Roman" w:hAnsi="Times New Roman"/>
          <w:sz w:val="14"/>
          <w:szCs w:val="14"/>
          <w:color w:val="auto"/>
        </w:rPr>
      </w:pPr>
    </w:p>
    <w:p>
      <w:pPr>
        <w:ind w:left="56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7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DELL TECHNOLOGIES INC.</w:t>
      </w:r>
    </w:p>
    <w:p>
      <w:pPr>
        <w:spacing w:after="0" w:line="170" w:lineRule="exact"/>
        <w:rPr>
          <w:sz w:val="20"/>
          <w:szCs w:val="20"/>
          <w:color w:val="auto"/>
        </w:rPr>
      </w:pPr>
    </w:p>
    <w:p>
      <w:pPr>
        <w:jc w:val="both"/>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Dell Technologies is a leader in the global technology industry focused on providing broad and innovative technology solutions for the data and AI era. These solutions range from client devices and peripherals to infrastructure solutions across servers, networking, and storage to meet the evolving needs of our customers and drive better business outcomes. With our extensive portfolio and commitment to innovation, we design, deploy, and support secure, integrated solutions that extend from the edge to the core to the cloud. We deliver AI-optimized, software-defined, and cloud native infrastructure solutions across a broad partner ecosystem to help customers address evolving information technology (“IT”) needs, drive outcomes, and capture growth as customer spending priorities evolve.</w:t>
      </w:r>
    </w:p>
    <w:p>
      <w:pPr>
        <w:spacing w:after="0" w:line="150" w:lineRule="exact"/>
        <w:rPr>
          <w:sz w:val="20"/>
          <w:szCs w:val="20"/>
          <w:color w:val="auto"/>
        </w:rPr>
      </w:pPr>
    </w:p>
    <w:p>
      <w:pPr>
        <w:jc w:val="both"/>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w:t>
      </w:r>
    </w:p>
    <w:p>
      <w:pPr>
        <w:spacing w:after="0" w:line="150" w:lineRule="exact"/>
        <w:rPr>
          <w:sz w:val="20"/>
          <w:szCs w:val="20"/>
          <w:color w:val="auto"/>
        </w:rPr>
      </w:pPr>
    </w:p>
    <w:p>
      <w:pPr>
        <w:jc w:val="both"/>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We offer customers choice in how they acquire our solutions, including utility, subscription, as-a-Service, leases, loans, and immediate pay models. These options allow our customers to pay upfront or over time, providing them with operational and financial flexibility.</w:t>
      </w:r>
    </w:p>
    <w:p>
      <w:pPr>
        <w:spacing w:after="0" w:line="136"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w:t>
      </w:r>
    </w:p>
    <w:p>
      <w:pPr>
        <w:spacing w:after="0" w:line="142"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We believe we are well-positioned in our industry and that our results will continue to benefit from our operational advantages, which position us for long-term growth and value creation while keeping our purpose at the forefront of our decision-making: to create technologies that drive human progress.</w:t>
      </w:r>
    </w:p>
    <w:p>
      <w:pPr>
        <w:spacing w:after="0" w:line="142"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w:t>
      </w:r>
    </w:p>
    <w:p>
      <w:pPr>
        <w:spacing w:after="0" w:line="142" w:lineRule="exact"/>
        <w:rPr>
          <w:sz w:val="20"/>
          <w:szCs w:val="20"/>
          <w:color w:val="auto"/>
        </w:rPr>
      </w:pPr>
    </w:p>
    <w:p>
      <w:pPr>
        <w:jc w:val="both"/>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differentiated operating advantages, our leadership, and our way of doing business provide a foundation to foster growth, drive efficiencies, and capitalize on each successive wave of innovation in a dynamic industry.</w:t>
      </w:r>
    </w:p>
    <w:p>
      <w:pPr>
        <w:spacing w:after="0" w:line="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DELL INTERNATIONAL L.L.C., EMC CORPORATION AND THE ADDITIONAL</w:t>
      </w:r>
    </w:p>
    <w:p>
      <w:pPr>
        <w:spacing w:after="0" w:line="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REGISTRANT GUARANTORS</w:t>
      </w:r>
    </w:p>
    <w:p>
      <w:pPr>
        <w:spacing w:after="0" w:line="154" w:lineRule="exact"/>
        <w:rPr>
          <w:sz w:val="20"/>
          <w:szCs w:val="20"/>
          <w:color w:val="auto"/>
        </w:rPr>
      </w:pPr>
    </w:p>
    <w:p>
      <w:pPr>
        <w:jc w:val="both"/>
        <w:ind w:left="1480" w:right="339" w:firstLine="333"/>
        <w:spacing w:after="0" w:line="248" w:lineRule="auto"/>
        <w:rPr>
          <w:sz w:val="20"/>
          <w:szCs w:val="20"/>
          <w:color w:val="auto"/>
        </w:rPr>
      </w:pPr>
      <w:r>
        <w:rPr>
          <w:rFonts w:ascii="Times New Roman" w:cs="Times New Roman" w:eastAsia="Times New Roman" w:hAnsi="Times New Roman"/>
          <w:sz w:val="14"/>
          <w:szCs w:val="14"/>
          <w:color w:val="auto"/>
        </w:rPr>
        <w:t>Each of Dell International and EMC is a direct wholly-owned subsidiary of Dell Inc. and an indirect wholly-owned consolidated subsidiary of Dell Technologies. With respect to the additional Registrant Guarantors, Denali Intermediate Inc. is a direct wholly-owned consolidated subsidiary of Dell Technologies, and Dell Inc. is a direct wholly-owned subsidiary of Denali Intermediate Inc. and an indirect wholly-owned consolidated subsidiary of Dell Technologies. Dell International, EMC, Denali Intermediate Inc. and Dell Inc. are holding companies that directly or indirectly hold all of the operating subsidiaries of Dell Technologies.</w:t>
      </w:r>
    </w:p>
    <w:p>
      <w:pPr>
        <w:spacing w:after="0" w:line="30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0" w:lineRule="exact"/>
        <w:rPr>
          <w:sz w:val="20"/>
          <w:szCs w:val="20"/>
          <w:color w:val="auto"/>
        </w:rPr>
      </w:pPr>
    </w:p>
    <w:p>
      <w:pPr>
        <w:jc w:val="both"/>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 xml:space="preserve">Dell Technologies (under the name Denali Holding Inc.) was incorporated in the State of Delaware in 2013 in connection with the going-private transaction in October 2013 pursuant to which the public stockholders of Dell Inc. received cash for their shares of Dell Inc. common stock. Denali Holding Inc. changed its name to Dell Technologies Inc. on August 25, 2016. In addition, Dell Technologies anticipates changing its jurisdiction of incorporation to Texas, subject to the approval of stockholders. See “Recent Developments.” Our global corporate headquarters is located at One Dell Way, Round Rock, Texas 78682. Our telephone number is (512) 728-7800. Our website is </w:t>
      </w:r>
      <w:r>
        <w:rPr>
          <w:rFonts w:ascii="Times New Roman" w:cs="Times New Roman" w:eastAsia="Times New Roman" w:hAnsi="Times New Roman"/>
          <w:sz w:val="14"/>
          <w:szCs w:val="14"/>
          <w:i w:val="1"/>
          <w:iCs w:val="1"/>
          <w:color w:val="auto"/>
        </w:rPr>
        <w:t>www.dell.com</w:t>
      </w:r>
      <w:r>
        <w:rPr>
          <w:rFonts w:ascii="Times New Roman" w:cs="Times New Roman" w:eastAsia="Times New Roman" w:hAnsi="Times New Roman"/>
          <w:sz w:val="14"/>
          <w:szCs w:val="14"/>
          <w:color w:val="auto"/>
        </w:rPr>
        <w:t xml:space="preserve"> and the Investors page of our website is </w:t>
      </w:r>
      <w:r>
        <w:rPr>
          <w:rFonts w:ascii="Times New Roman" w:cs="Times New Roman" w:eastAsia="Times New Roman" w:hAnsi="Times New Roman"/>
          <w:sz w:val="14"/>
          <w:szCs w:val="14"/>
          <w:i w:val="1"/>
          <w:iCs w:val="1"/>
          <w:color w:val="auto"/>
        </w:rPr>
        <w:t>https://investors.delltechnologies.com</w:t>
      </w:r>
      <w:r>
        <w:rPr>
          <w:rFonts w:ascii="Times New Roman" w:cs="Times New Roman" w:eastAsia="Times New Roman" w:hAnsi="Times New Roman"/>
          <w:sz w:val="14"/>
          <w:szCs w:val="14"/>
          <w:color w:val="auto"/>
        </w:rPr>
        <w:t>. Information contained or linked on our website is not part of, and is not incorporated by reference into,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w:t>
      </w:r>
    </w:p>
    <w:p>
      <w:pPr>
        <w:spacing w:after="0" w:line="147" w:lineRule="exact"/>
        <w:rPr>
          <w:sz w:val="20"/>
          <w:szCs w:val="20"/>
          <w:color w:val="auto"/>
        </w:rPr>
      </w:pPr>
    </w:p>
    <w:p>
      <w:pPr>
        <w:jc w:val="both"/>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Dell International (under the name New Dell International LLC) was incorporated in the State of Delaware in 2016 in connection with Dell Technologies’ acquisition of EMC. New Dell International LLC changed its name to Dell International L.L.C. on September 8, 2016. Dell Inc. and Denali Intermediate Inc. were incorporated in the State of Delaware in 1987 and 2013, respectively. The principal address of Dell International, Denali Intermediate Inc. and Dell Inc. is One Dell Way, Round Rock, Texas 78682.</w:t>
      </w:r>
    </w:p>
    <w:p>
      <w:pPr>
        <w:spacing w:after="0" w:line="146" w:lineRule="exact"/>
        <w:rPr>
          <w:sz w:val="20"/>
          <w:szCs w:val="20"/>
          <w:color w:val="auto"/>
        </w:rPr>
      </w:pPr>
    </w:p>
    <w:p>
      <w:pPr>
        <w:jc w:val="both"/>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EMC was incorporated in Massachusetts in 1979. EMC’s corporate headquarters are located at 176 South Street, Hopkinton, Massachusetts 01748. EMC’s telephone number is (508) 435-1000.</w:t>
      </w:r>
    </w:p>
    <w:p>
      <w:pPr>
        <w:spacing w:after="0" w:line="2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0" w:lineRule="exact"/>
        <w:rPr>
          <w:sz w:val="20"/>
          <w:szCs w:val="20"/>
          <w:color w:val="auto"/>
        </w:rPr>
      </w:pPr>
    </w:p>
    <w:p>
      <w:pPr>
        <w:jc w:val="both"/>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On May 3, 2026, Dell Technologies’ board of directors unanimously approved changing the jurisdiction of Dell Technologies’ state of incorporation from Delaware to Texas, subject to the approval of our stockholders (the “Redomestication”). The Redomestication, if approved, will be effected through a conversion of Dell Technologies pursuant to Section 266 of the Delaware General Corporation Law and Title 1, Chapter 10, Subchapter C of the Texas Business Organizations Code pursuant to, and in accordance with, a plan of conversion (the “Plan of Conversion”). By operation of the Plan of Conversion and upon consummation of the Redomestication, among other things, Dell Technologies will continue in existence as a Texas corporation and will continue to operate our business under its current name, “Dell Technologies Inc.” In addition, (i) each issued and outstanding share of our Class A, Class B and Class C common stock will be automatically converted into one outstanding share of Class A, Class B and Class C common stock, respectively, of the Texas corporation; and (ii) each outstanding stock option, restricted stock unit, performance stock unit, other equity award or other right to acquire shares of Class C common stock of the Delaware corporation will continue in existence and automatically become a stock option, restricted stock unit, performance stock unit, other equity award or other right to acquire an equal number of shares, respectively, of Class C common stock of the Texas corporation under the same terms and conditions.</w:t>
      </w:r>
    </w:p>
    <w:p>
      <w:pPr>
        <w:spacing w:after="0" w:line="1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jc w:val="both"/>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Investing in any securities offered pursuant to the registration statement of which this prospectus forms a part involves risks. Before making a decision to invest in any securities, you should carefully consider the risk factors discussed in the Annual Report and in other documents that Dell Technologies files with the SEC that update, supplement or supersede such information, all of which are incorporated by reference into this prospectus, as well as the other information contained or incorporated by reference into this prospectus and in any accompanying prospectus supplement.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The Issuers intend to use the net proceeds from the sales of securities as set forth in the applicable prospectus supplement and/or free writing prospectus.</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0" w:lineRule="exact"/>
        <w:rPr>
          <w:sz w:val="20"/>
          <w:szCs w:val="20"/>
          <w:color w:val="auto"/>
        </w:rPr>
      </w:pPr>
    </w:p>
    <w:p>
      <w:pPr>
        <w:jc w:val="both"/>
        <w:ind w:left="1480" w:right="339" w:firstLine="333"/>
        <w:spacing w:after="0" w:line="246" w:lineRule="auto"/>
        <w:rPr>
          <w:sz w:val="20"/>
          <w:szCs w:val="20"/>
          <w:color w:val="auto"/>
        </w:rPr>
      </w:pPr>
      <w:r>
        <w:rPr>
          <w:rFonts w:ascii="Times New Roman" w:cs="Times New Roman" w:eastAsia="Times New Roman" w:hAnsi="Times New Roman"/>
          <w:sz w:val="14"/>
          <w:szCs w:val="14"/>
          <w:color w:val="auto"/>
        </w:rPr>
        <w:t>This prospectus describes certain general terms and provisions of the debt securities. The debt securities covered by this prospectus will be the Issuers’ and, as applicable, Dell Technologies’ and the additional Registrant Guarantors’ senior unsecured obligations. The debt securities will be issued under one or more base indentures, together with related officer’s certificates or supplemental indentures between the Issuers, the guarantors party thereto and The Bank of New York Mellon Trust Company, N.A., as trustee (the “Trustee”), including under the indenture, dated as of January 24, 2023, among the Issuers, the guarantors party thereto (the “Guarantors”) and the Trustee (together with any related supplemental indentures or officer’s certificates, the “Existing Indenture”). We refer herein to each of the Existing Indenture and any other indenture under which debt securities will be issued pursuant to this prospectus as the “Indenture.” The terms of the Indenture and any debt securities issued thereunder will be set forth in the prospectus supplement relating to such debt securities. The prospectus supplement will also indicate whether the general terms and provisions described in this prospectus apply to a particular series of debt securities.</w:t>
      </w:r>
    </w:p>
    <w:p>
      <w:pPr>
        <w:spacing w:after="0" w:line="149" w:lineRule="exact"/>
        <w:rPr>
          <w:sz w:val="20"/>
          <w:szCs w:val="20"/>
          <w:color w:val="auto"/>
        </w:rPr>
      </w:pPr>
    </w:p>
    <w:p>
      <w:pPr>
        <w:jc w:val="both"/>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We have summarized some terms of the Existing Indenture below. We expect that the terms of the Indenture, if other than the Existing Indenture (any such other Indentures, a “New Indenture”), will be substantially similar to the Existing Indenture; however, we will describe the specific terms of the debt securities to be issued under any such New Indenture in a supplement to this prospectus. The below summary of the Existing Indenture is not complete. The Existing Indenture is incorporated by reference as an exhibit to the registration statement of which this prospectus is a part. You should read the Existing Indenture for a complete statement of the provisions summarized in this prospectus and for provisions that may be important to you. The Existing Indenture is subject to the provisions of the Trust Indenture Act of 1939, as amended (the “Trust Indenture Act”), that are required to be a part of the Existing Indenture and which are deemed to be incorporated into the Existing Indenture and shall, to the extent applicable, be governed by those provisions.</w:t>
      </w:r>
    </w:p>
    <w:p>
      <w:pPr>
        <w:spacing w:after="0" w:line="150" w:lineRule="exact"/>
        <w:rPr>
          <w:sz w:val="20"/>
          <w:szCs w:val="20"/>
          <w:color w:val="auto"/>
        </w:rPr>
      </w:pPr>
    </w:p>
    <w:p>
      <w:pPr>
        <w:jc w:val="both"/>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In this section of the prospectus, references to the “Issuers” are to Dell International and EMC and not any of their Subsidiaries. When we refer to specific sections contained in the Existing Indenture or terms defined in the Existing Indenture, including important terms, which we capitalize here, we use them in this prospectus in the same way we use them in the Existing Indenture, and you should refer to the Existing Indenture itself for detailed, specific, legal descriptions thereof.</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Summary of the Existing Indenture</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The Existing Indenture does not limit the amount of debt securities that the Issuers may issue thereunder. To the extent permitted by the Existing Indenture, the Issuers may issue debt securities under the Existing Indenture up to an aggregate principal amount as they may authorize from time to time.</w:t>
      </w:r>
    </w:p>
    <w:p>
      <w:pPr>
        <w:spacing w:after="0" w:line="1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A prospectus supplement relating to the offering of a series of debt securities will include specific terms relating to that series of debt securities.</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These terms will include some or all of the following:</w:t>
      </w:r>
    </w:p>
    <w:p>
      <w:pPr>
        <w:spacing w:after="0" w:line="82" w:lineRule="exact"/>
        <w:rPr>
          <w:sz w:val="20"/>
          <w:szCs w:val="20"/>
          <w:color w:val="auto"/>
        </w:rPr>
      </w:pPr>
    </w:p>
    <w:p>
      <w:pPr>
        <w:ind w:left="2220" w:hanging="334"/>
        <w:spacing w:after="0"/>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of the series;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 of the series that may be authenticated and delivered under the Existing Indenture;</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Issuers will sell the debt securities of the series;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on the debt securities of the series shall be payable, if other than the Person in whose name such debt security (or one or more predecessor debt securities) is registered at the close of business on the applicable record date;</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and premium, if any, of the debt securities of the series are payable;</w:t>
      </w:r>
    </w:p>
    <w:p>
      <w:pPr>
        <w:spacing w:after="0" w:line="1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and the method for calculating the interest rate;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be payable and the related record dates;</w:t>
      </w:r>
    </w:p>
    <w:p>
      <w:pPr>
        <w:spacing w:after="0" w:line="94" w:lineRule="exact"/>
        <w:rPr>
          <w:rFonts w:ascii="Times New Roman" w:cs="Times New Roman" w:eastAsia="Times New Roman" w:hAnsi="Times New Roman"/>
          <w:sz w:val="14"/>
          <w:szCs w:val="14"/>
          <w:color w:val="auto"/>
        </w:rPr>
      </w:pPr>
    </w:p>
    <w:p>
      <w:pPr>
        <w:jc w:val="both"/>
        <w:ind w:left="2220" w:right="339" w:hanging="334"/>
        <w:spacing w:after="0" w:line="25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any premium and interest on the debt securities of the series will be payable, where the debt securities of such series may be surrendered for registration of transfer or exchange and where notices and demands to or upon the Issuers in respect of the debt securities of such series and the Existing Indenture may be served, and the method of such payment;</w:t>
      </w:r>
    </w:p>
    <w:p>
      <w:pPr>
        <w:spacing w:after="0" w:line="70"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the debt securities of the series may be redeemed at the option of the Issuers;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mandatory or optional sinking fund or analogous provisions;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upon which the debt securities of the series may be exchanged for other securities issued by the Issuers;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of the series will be issuable, if other than denominations of $2,000 and integral multiples of $1,000 in excess thereof;</w:t>
      </w:r>
    </w:p>
    <w:p>
      <w:pPr>
        <w:spacing w:after="0" w:line="6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payment of principal of and any premium and interest on the debt securities of the series shall be payable if other than United States dollars;</w:t>
      </w:r>
    </w:p>
    <w:p>
      <w:pPr>
        <w:spacing w:after="0" w:line="6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index, formula or other method used to determine the amount of payments of principal of and any premium and interest on the debt securities;</w:t>
      </w:r>
    </w:p>
    <w:p>
      <w:pPr>
        <w:spacing w:after="0" w:line="6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payable at the stated maturity of the debt securities of the series will not be determinable as of any one or more dates prior to the stated maturity, the amount that will be deemed to be the principal amount as of any date for any purpose;</w:t>
      </w:r>
    </w:p>
    <w:p>
      <w:pPr>
        <w:spacing w:after="0" w:line="6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and any addition to or change in, the covenants or definitions specified in the Existing Indenture as then in effect or in the terms specified in the Existing Indenture as then in effect relating to permitted consolidations, mergers or sales of assets;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deletions or changes to the provisions of the Existing Indenture relating to covenant defeasance and legal defeasance;</w:t>
      </w:r>
    </w:p>
    <w:p>
      <w:pPr>
        <w:spacing w:after="0" w:line="94" w:lineRule="exact"/>
        <w:rPr>
          <w:rFonts w:ascii="Times New Roman" w:cs="Times New Roman" w:eastAsia="Times New Roman" w:hAnsi="Times New Roman"/>
          <w:sz w:val="14"/>
          <w:szCs w:val="14"/>
          <w:color w:val="auto"/>
        </w:rPr>
      </w:pPr>
    </w:p>
    <w:p>
      <w:pPr>
        <w:jc w:val="both"/>
        <w:ind w:left="2220" w:right="359" w:hanging="334"/>
        <w:spacing w:after="0" w:line="25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debt securities of such series are to be issuable in temporary or permanent global form or both, and, if so, the depositary for the global securities and the terms and conditions, if any, relating to the exchange of interests in the global securities for the individual securities represented thereby in definitive registered form;</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and any authenticating or paying agents, transfer agents or registrars;</w:t>
      </w:r>
    </w:p>
    <w:p>
      <w:pPr>
        <w:spacing w:after="0" w:line="94" w:lineRule="exact"/>
        <w:rPr>
          <w:rFonts w:ascii="Times New Roman" w:cs="Times New Roman" w:eastAsia="Times New Roman" w:hAnsi="Times New Roman"/>
          <w:sz w:val="14"/>
          <w:szCs w:val="14"/>
          <w:color w:val="auto"/>
        </w:rPr>
      </w:pPr>
    </w:p>
    <w:p>
      <w:pPr>
        <w:jc w:val="both"/>
        <w:ind w:left="2220" w:right="339" w:hanging="334"/>
        <w:spacing w:after="0" w:line="25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with respect to the debt securities of the series and any change in the right of the Trustee or the holders of the debt securities of the series to declare the principal, premium and interest with respect to the debt securities of such series due and payable; and</w:t>
      </w:r>
    </w:p>
    <w:p>
      <w:pPr>
        <w:spacing w:after="0" w:line="70" w:lineRule="exact"/>
        <w:rPr>
          <w:rFonts w:ascii="Times New Roman" w:cs="Times New Roman" w:eastAsia="Times New Roman" w:hAnsi="Times New Roman"/>
          <w:sz w:val="14"/>
          <w:szCs w:val="14"/>
          <w:color w:val="auto"/>
        </w:rPr>
      </w:pPr>
    </w:p>
    <w:p>
      <w:pPr>
        <w:jc w:val="both"/>
        <w:ind w:left="2220" w:right="359" w:hanging="334"/>
        <w:spacing w:after="0" w:line="25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of the series and the related Security Guarantees, if any (whether or not such other terms are consistent or inconsistent with the provisions of the Existing Indenture and any deletions from or modifications or additions to the Existing Indenture in respect of such debt securities of the series or such Security Guarantees, if any).</w:t>
      </w:r>
    </w:p>
    <w:p>
      <w:pPr>
        <w:spacing w:after="0" w:line="142" w:lineRule="exact"/>
        <w:rPr>
          <w:sz w:val="20"/>
          <w:szCs w:val="20"/>
          <w:color w:val="auto"/>
        </w:rPr>
      </w:pPr>
    </w:p>
    <w:p>
      <w:pPr>
        <w:jc w:val="both"/>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 xml:space="preserve">Debt securities may be issued as original issue discount securities to be sold at a discount from their principal amount. Furthermore, we may from time to time, without notice to or the consent of the holders of any series of debt securities, create and issue further debt securities of any such series ranking equally with, and having the same terms and conditions as, the debt securities of such series in all respects (or in all respects other than the payment of interest accruing prior to the issue date of such further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additional debt securities are not fungible with the initial debt securities of such series for U.S. federal income tax</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64" w:lineRule="auto"/>
        <w:rPr>
          <w:sz w:val="20"/>
          <w:szCs w:val="20"/>
          <w:color w:val="auto"/>
        </w:rPr>
      </w:pPr>
      <w:r>
        <w:rPr>
          <w:rFonts w:ascii="Times New Roman" w:cs="Times New Roman" w:eastAsia="Times New Roman" w:hAnsi="Times New Roman"/>
          <w:sz w:val="14"/>
          <w:szCs w:val="14"/>
          <w:color w:val="auto"/>
        </w:rPr>
        <w:t>purposes, such additional debt securities will have a separate CUSIP number. United States federal income tax consequences and other special considerations applicable to any future debt securities will be described in the prospectus supplement relating thereto.</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debt securities will be:</w:t>
      </w:r>
    </w:p>
    <w:p>
      <w:pPr>
        <w:spacing w:after="0" w:line="94" w:lineRule="exact"/>
        <w:rPr>
          <w:sz w:val="20"/>
          <w:szCs w:val="20"/>
          <w:color w:val="auto"/>
        </w:rPr>
      </w:pPr>
    </w:p>
    <w:p>
      <w:pPr>
        <w:ind w:left="2220" w:hanging="334"/>
        <w:spacing w:after="0"/>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unsecured obligations of the Issuers;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in right of payment to any future subordinated indebtedness of the Issuers;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pari passu in right of payment with all existing and future senior indebtedness of the Issuers;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senior to all existing and future indebtedness and other liabilities of any Person that is a direct or indirect parent of the Issuers; and</w:t>
      </w:r>
    </w:p>
    <w:p>
      <w:pPr>
        <w:spacing w:after="0" w:line="6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subordinated to all existing and future indebtedness and other liabilities of Subsidiaries of the Issuers, other than indebtedness and liabilities owed to one of the Issuers or Guarantors.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Security Guarantees</w:t>
      </w:r>
    </w:p>
    <w:p>
      <w:pPr>
        <w:spacing w:after="0" w:line="88" w:lineRule="exact"/>
        <w:rPr>
          <w:sz w:val="20"/>
          <w:szCs w:val="20"/>
          <w:color w:val="auto"/>
        </w:rPr>
      </w:pPr>
    </w:p>
    <w:p>
      <w:pPr>
        <w:jc w:val="both"/>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Unless the terms of a particular series of debt securities provide otherwise, the Guarantors, as primary obligors and not merely as sureties, will jointly and severally irrevocably and unconditionally guarantee, on a senior unsecured basis, the performance and full and punctual payment when due, whether at maturity, by acceleration or otherwise, of all obligations of the Issuers under any series of debt securities and the Existing Indenture, whether for payment of principal of, premium, if any, or interest on the debt securities of such series, expenses, indemnification or otherwise, on the terms set forth in the Existing Indenture.</w:t>
      </w:r>
    </w:p>
    <w:p>
      <w:pPr>
        <w:spacing w:after="0" w:line="149" w:lineRule="exact"/>
        <w:rPr>
          <w:sz w:val="20"/>
          <w:szCs w:val="20"/>
          <w:color w:val="auto"/>
        </w:rPr>
      </w:pPr>
    </w:p>
    <w:p>
      <w:pPr>
        <w:jc w:val="both"/>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As of the date of this prospectus, the Guarantors under the Existing Indenture are Dell Technologies, Denali Intermediate Inc. and Dell Inc. The Security Guarantee of each Guarantor will be:</w:t>
      </w:r>
    </w:p>
    <w:p>
      <w:pPr>
        <w:spacing w:after="0" w:line="65" w:lineRule="exact"/>
        <w:rPr>
          <w:sz w:val="20"/>
          <w:szCs w:val="20"/>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senior unsecured obligation of such Guarantor;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in right of payment to all existing and future subordinated indebtedness of such Guarantor;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pari passu in right of payment with all existing and future senior indebtedness of such Guarantor; and</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subordinated to all existing and future indebtedness and other liabilities of Subsidiaries of the Issuers, other than indebtedness and liabilities owed to one of the Issuers or Guarantors.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Release of Security Guarantees</w:t>
      </w:r>
    </w:p>
    <w:p>
      <w:pPr>
        <w:spacing w:after="0" w:line="88" w:lineRule="exact"/>
        <w:rPr>
          <w:sz w:val="20"/>
          <w:szCs w:val="20"/>
          <w:color w:val="auto"/>
        </w:rPr>
      </w:pPr>
    </w:p>
    <w:p>
      <w:pPr>
        <w:jc w:val="both"/>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Unless the terms of a particular series of debt securities provide otherwise, each Security Guarantee of a series of debt securities by a Guarantor shall provide by its terms that its obligations under the Existing Indenture with respect to such series and such Security Guarantee shall be automatically and unconditionally released and discharged upon the Issuers exercising the legal defeasance option or covenant defeasance option with respect to such series as described under “</w:t>
      </w:r>
      <w:r>
        <w:rPr>
          <w:rFonts w:ascii="Times New Roman" w:cs="Times New Roman" w:eastAsia="Times New Roman" w:hAnsi="Times New Roman"/>
          <w:sz w:val="14"/>
          <w:szCs w:val="14"/>
          <w:i w:val="1"/>
          <w:iCs w:val="1"/>
          <w:color w:val="auto"/>
        </w:rPr>
        <w:t>Legal Defeasance and Covenant Defeasance</w:t>
      </w:r>
      <w:r>
        <w:rPr>
          <w:rFonts w:ascii="Times New Roman" w:cs="Times New Roman" w:eastAsia="Times New Roman" w:hAnsi="Times New Roman"/>
          <w:sz w:val="14"/>
          <w:szCs w:val="14"/>
          <w:color w:val="auto"/>
        </w:rPr>
        <w:t>” or the Issuers’ obligations under the Existing Indenture with respect to such series being discharged in accordance with the terms of the Existing Indenture.</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Merger, Consolidation, Amalgamation or Sale of All or Substantially All Assets</w:t>
      </w:r>
    </w:p>
    <w:p>
      <w:pPr>
        <w:spacing w:after="0" w:line="88"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The Issuers and the Guarantors will not merge, consolidate or amalgamate with or into or wind up into, (whether or not such Issuer or Guarantor is the surviving Person), consummate a Division as the Dividing Person or sell, assign, transfer, lease, convey or otherwise dispose of all or substantially all of the properties or assets of</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Dell Technologies and its Subsidiaries, taken as a whole, in one or more related transactions, to any Person unless:</w:t>
      </w:r>
    </w:p>
    <w:p>
      <w:pPr>
        <w:spacing w:after="0" w:line="94" w:lineRule="exact"/>
        <w:rPr>
          <w:sz w:val="20"/>
          <w:szCs w:val="20"/>
          <w:color w:val="auto"/>
        </w:rPr>
      </w:pPr>
    </w:p>
    <w:p>
      <w:pPr>
        <w:jc w:val="both"/>
        <w:ind w:left="2220" w:right="339" w:hanging="416"/>
        <w:spacing w:after="0" w:line="246" w:lineRule="auto"/>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(x) in the case of a Division where an Issuer or Guarantor is the Dividing Person, each Division Successor shall remain or become an Issuer or a Guarantor, as the case may be, and (y) in all other cases, an Issuer or a Guarantor, as the case may be, is the surviving Person or the Person formed by or surviving any such merger, consolidation or amalgamation (if other than an Issuer or a Guarantor)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(in each of clauses (x) and (y), such Issuer, such Guarantor or such Person, as the case may be, being herein called the “Successor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where the Successor Company of an Issuer is not a corporation, a co-issuer of the debt securities is a corporation;</w:t>
      </w:r>
    </w:p>
    <w:p>
      <w:pPr>
        <w:spacing w:after="0" w:line="79" w:lineRule="exact"/>
        <w:rPr>
          <w:rFonts w:ascii="Times New Roman" w:cs="Times New Roman" w:eastAsia="Times New Roman" w:hAnsi="Times New Roman"/>
          <w:sz w:val="14"/>
          <w:szCs w:val="14"/>
          <w:color w:val="auto"/>
        </w:rPr>
      </w:pPr>
    </w:p>
    <w:p>
      <w:pPr>
        <w:jc w:val="both"/>
        <w:ind w:left="2220" w:right="359" w:hanging="416"/>
        <w:spacing w:after="0" w:line="250" w:lineRule="auto"/>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Company, if other than an Issuer or a Guarantor, expressly assumes, in the case of a Guarantor, all the obligations of such Guarantor under the Existing Indenture and its Security Guarantee and, in the case of an Issuer, all of the obligations of such Issuer under the Existing Indenture and the debt securities, in each case, pursuant to supplemental indentures or other documents or instruments in form reasonably satisfactory to the Trustee; and</w:t>
      </w:r>
    </w:p>
    <w:p>
      <w:pPr>
        <w:spacing w:after="0" w:line="7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such transaction, no Event of Default exists.</w:t>
      </w:r>
    </w:p>
    <w:p>
      <w:pPr>
        <w:spacing w:after="0" w:line="166" w:lineRule="exact"/>
        <w:rPr>
          <w:sz w:val="20"/>
          <w:szCs w:val="20"/>
          <w:color w:val="auto"/>
        </w:rPr>
      </w:pPr>
    </w:p>
    <w:p>
      <w:pPr>
        <w:jc w:val="both"/>
        <w:ind w:left="1480" w:right="359" w:firstLine="333"/>
        <w:spacing w:after="0" w:line="316" w:lineRule="auto"/>
        <w:rPr>
          <w:sz w:val="20"/>
          <w:szCs w:val="20"/>
          <w:color w:val="auto"/>
        </w:rPr>
      </w:pPr>
      <w:r>
        <w:rPr>
          <w:rFonts w:ascii="Times New Roman" w:cs="Times New Roman" w:eastAsia="Times New Roman" w:hAnsi="Times New Roman"/>
          <w:sz w:val="12"/>
          <w:szCs w:val="12"/>
          <w:color w:val="auto"/>
        </w:rPr>
        <w:t>The Successor Company will succeed to, and be substituted for, an Issuer or a Guarantor, as the case may be, under the Existing Indenture, the Security Guarantees and the debt securities, as applicable, and such Issuer or Guarantor, as applicable, will automatically be released and discharged from its obligations under the Existing Indenture, the Security Guarantees and the debt securities, as applicable. Notwithstanding the foregoing,</w:t>
      </w:r>
    </w:p>
    <w:p>
      <w:pPr>
        <w:spacing w:after="0" w:line="37" w:lineRule="exact"/>
        <w:rPr>
          <w:sz w:val="20"/>
          <w:szCs w:val="20"/>
          <w:color w:val="auto"/>
        </w:rPr>
      </w:pPr>
    </w:p>
    <w:p>
      <w:pPr>
        <w:ind w:left="2220" w:right="359" w:hanging="416"/>
        <w:spacing w:after="0" w:line="264" w:lineRule="auto"/>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of Dell Technologies may merge, consolidate or amalgamate with or into or sell, assign, transfer, lease, convey or otherwise dispose of all or part of its properties and assets to Dell Technologies and any of its Subsidiaries (including the Issuers); and</w:t>
      </w:r>
    </w:p>
    <w:p>
      <w:pPr>
        <w:spacing w:after="0" w:line="64" w:lineRule="exact"/>
        <w:rPr>
          <w:rFonts w:ascii="Times New Roman" w:cs="Times New Roman" w:eastAsia="Times New Roman" w:hAnsi="Times New Roman"/>
          <w:sz w:val="14"/>
          <w:szCs w:val="14"/>
          <w:color w:val="auto"/>
        </w:rPr>
      </w:pPr>
    </w:p>
    <w:p>
      <w:pPr>
        <w:jc w:val="both"/>
        <w:ind w:left="2220" w:right="359" w:hanging="416"/>
        <w:spacing w:after="0" w:line="254" w:lineRule="auto"/>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Issuer or a Guarantor may merge, consolidate or amalgamate with or into with an Affiliate of such Issuer or such Guarantor, as the case may be, solely for the purpose of reincorporating such Issuer or such Guarantor in the United States, any state thereof, the District of Columbia or any territory thereof.</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Reports and Other Information</w:t>
      </w:r>
    </w:p>
    <w:p>
      <w:pPr>
        <w:spacing w:after="0" w:line="88" w:lineRule="exact"/>
        <w:rPr>
          <w:sz w:val="20"/>
          <w:szCs w:val="20"/>
          <w:color w:val="auto"/>
        </w:rPr>
      </w:pPr>
    </w:p>
    <w:p>
      <w:pPr>
        <w:jc w:val="both"/>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To the extent any debt securities are outstanding, Dell Technologies shall deliver to the Trustee any reports, information and documents that Dell Technologies is required to file with the SEC pursuant to Section 13 or 15(d) of the Exchange Act within 30 days after such report, information or document is required to be filed with the SEC. All such reports, information or documents that Dell Technologies files with the SEC via the SEC’s EDGAR system shall be deemed to be filed with the Trustee and transmitted to holders of debt securities at the time such reports, information or documents are filed via the EDGAR system (or any successor system).</w:t>
      </w:r>
    </w:p>
    <w:p>
      <w:pPr>
        <w:spacing w:after="0" w:line="149" w:lineRule="exact"/>
        <w:rPr>
          <w:sz w:val="20"/>
          <w:szCs w:val="20"/>
          <w:color w:val="auto"/>
        </w:rPr>
      </w:pPr>
    </w:p>
    <w:p>
      <w:pPr>
        <w:jc w:val="both"/>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Delivery of the foregoing reports, information and documents to the Trustee is for informational purposes only and the Trustee’s receipt of such shall not constitute constructive or actual knowledge or notice of any information contained therein or determinable from information contained therein, including the Issuers’ compliance with any of their covenants under the Existing Indenture (as to which the Trustee is entitled to rely exclusively on officer’s certificates).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8" w:lineRule="exact"/>
        <w:rPr>
          <w:sz w:val="20"/>
          <w:szCs w:val="20"/>
          <w:color w:val="auto"/>
        </w:rPr>
      </w:pPr>
    </w:p>
    <w:p>
      <w:pPr>
        <w:jc w:val="both"/>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each of the following events is defined in the Existing Indenture as an “Event of Default” (whatever the reason therefor and whether or not it will be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8"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64" w:lineRule="auto"/>
        <w:rPr>
          <w:sz w:val="20"/>
          <w:szCs w:val="20"/>
          <w:color w:val="auto"/>
        </w:rPr>
      </w:pPr>
      <w:r>
        <w:rPr>
          <w:rFonts w:ascii="Times New Roman" w:cs="Times New Roman" w:eastAsia="Times New Roman" w:hAnsi="Times New Roman"/>
          <w:sz w:val="14"/>
          <w:szCs w:val="14"/>
          <w:color w:val="auto"/>
        </w:rPr>
        <w:t>voluntary or involuntary or be effected by operation of law or pursuant to any judgment, decree or order of any court or any order, rule or regulation of any administrative or governmental body) with respect to the debt securities of any series:</w:t>
      </w:r>
    </w:p>
    <w:p>
      <w:pPr>
        <w:spacing w:after="0" w:line="65" w:lineRule="exact"/>
        <w:rPr>
          <w:sz w:val="20"/>
          <w:szCs w:val="20"/>
          <w:color w:val="auto"/>
        </w:rPr>
      </w:pPr>
    </w:p>
    <w:p>
      <w:pPr>
        <w:ind w:left="2220" w:hanging="416"/>
        <w:spacing w:after="0"/>
        <w:tabs>
          <w:tab w:leader="none" w:pos="2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pay the principal of (or premium, if any, on) such series of debt securities when due and payable;</w:t>
      </w:r>
    </w:p>
    <w:p>
      <w:pPr>
        <w:spacing w:after="0" w:line="94" w:lineRule="exact"/>
        <w:rPr>
          <w:rFonts w:ascii="Times New Roman" w:cs="Times New Roman" w:eastAsia="Times New Roman" w:hAnsi="Times New Roman"/>
          <w:sz w:val="14"/>
          <w:szCs w:val="14"/>
          <w:color w:val="auto"/>
        </w:rPr>
      </w:pPr>
    </w:p>
    <w:p>
      <w:pPr>
        <w:ind w:left="2220" w:right="359" w:hanging="416"/>
        <w:spacing w:after="0" w:line="264" w:lineRule="auto"/>
        <w:tabs>
          <w:tab w:leader="none" w:pos="2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pay any interest installment or Additional Amounts on such series of debt securities when due and payable, which failure continues for 30 days;</w:t>
      </w:r>
    </w:p>
    <w:p>
      <w:pPr>
        <w:spacing w:after="0" w:line="64" w:lineRule="exact"/>
        <w:rPr>
          <w:rFonts w:ascii="Times New Roman" w:cs="Times New Roman" w:eastAsia="Times New Roman" w:hAnsi="Times New Roman"/>
          <w:sz w:val="14"/>
          <w:szCs w:val="14"/>
          <w:color w:val="auto"/>
        </w:rPr>
      </w:pPr>
    </w:p>
    <w:p>
      <w:pPr>
        <w:jc w:val="both"/>
        <w:ind w:left="2220" w:right="359" w:hanging="416"/>
        <w:spacing w:after="0" w:line="247" w:lineRule="auto"/>
        <w:tabs>
          <w:tab w:leader="none" w:pos="2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failure by the Issuers to comply for 90 days after written notice given by the Trustee or the holders of not less than 30% in aggregate principal amount of the outstanding debt securities of such series with its covenants or other agreements (other than those described in clause (1) or (2) above) contained in the Existing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of a failure to comply with the provisions described under “— </w:t>
      </w:r>
      <w:r>
        <w:rPr>
          <w:rFonts w:ascii="Times New Roman" w:cs="Times New Roman" w:eastAsia="Times New Roman" w:hAnsi="Times New Roman"/>
          <w:sz w:val="14"/>
          <w:szCs w:val="14"/>
          <w:i w:val="1"/>
          <w:iCs w:val="1"/>
          <w:color w:val="auto"/>
        </w:rPr>
        <w:t>Reports and Other Information</w:t>
      </w:r>
      <w:r>
        <w:rPr>
          <w:rFonts w:ascii="Times New Roman" w:cs="Times New Roman" w:eastAsia="Times New Roman" w:hAnsi="Times New Roman"/>
          <w:sz w:val="14"/>
          <w:szCs w:val="14"/>
          <w:color w:val="auto"/>
        </w:rPr>
        <w:t xml:space="preserve">,” such period of continuance of such default or breach shall be 180 days after written notice described in this clause (3) has been given;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notice may be given with respect to any action taken, and reported publicly or to the holders of debt securities, more than two years prior to such notice; and</w:t>
      </w:r>
    </w:p>
    <w:p>
      <w:pPr>
        <w:spacing w:after="0" w:line="78"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involving an Issuer (the “bankruptcy provisions”).</w:t>
      </w:r>
    </w:p>
    <w:p>
      <w:pPr>
        <w:spacing w:after="0" w:line="166" w:lineRule="exact"/>
        <w:rPr>
          <w:sz w:val="20"/>
          <w:szCs w:val="20"/>
          <w:color w:val="auto"/>
        </w:rPr>
      </w:pPr>
    </w:p>
    <w:p>
      <w:pPr>
        <w:jc w:val="both"/>
        <w:ind w:left="1480" w:right="339" w:firstLine="333"/>
        <w:spacing w:after="0" w:line="246" w:lineRule="auto"/>
        <w:rPr>
          <w:sz w:val="20"/>
          <w:szCs w:val="20"/>
          <w:color w:val="auto"/>
        </w:rPr>
      </w:pPr>
      <w:r>
        <w:rPr>
          <w:rFonts w:ascii="Times New Roman" w:cs="Times New Roman" w:eastAsia="Times New Roman" w:hAnsi="Times New Roman"/>
          <w:sz w:val="14"/>
          <w:szCs w:val="14"/>
          <w:color w:val="auto"/>
        </w:rPr>
        <w:t xml:space="preserve">Unless otherwise specified in the applicable prospectus supplement, if an Event of Default enumerated above with respect to the debt securities of any series at the time outstanding shall occur and be continuing, then either the Trustee or the holders of at least 30% in aggregate principal amount of the outstanding debt securities of such series may declare the principal, premium, if any, interest and any other monetary obligations on all the debt securities of such series to be due and payable immediately by a notice in writing to the Issuers (and to the Trustee if given by the holders of such debt securities). At any time after such a declaration of acceleration has been made, but before a judgment or decree for payment of the money due has been obtained by the Trustee, the holders of a majority in aggregate principal amount of the outstanding debt securities of such series, by written notice to the Issuers and the Trustee, may, in certain circumstances, rescind and annul such acceleration. If an Event of Default relating to the bankruptcy provisions occurs and is continuing, the principal of and interest on all the debt securities will </w:t>
      </w:r>
      <w:r>
        <w:rPr>
          <w:rFonts w:ascii="Times New Roman" w:cs="Times New Roman" w:eastAsia="Times New Roman" w:hAnsi="Times New Roman"/>
          <w:sz w:val="14"/>
          <w:szCs w:val="14"/>
          <w:i w:val="1"/>
          <w:iCs w:val="1"/>
          <w:color w:val="auto"/>
        </w:rPr>
        <w:t>ipso facto</w:t>
      </w:r>
      <w:r>
        <w:rPr>
          <w:rFonts w:ascii="Times New Roman" w:cs="Times New Roman" w:eastAsia="Times New Roman" w:hAnsi="Times New Roman"/>
          <w:sz w:val="14"/>
          <w:szCs w:val="14"/>
          <w:color w:val="auto"/>
        </w:rPr>
        <w:t xml:space="preserve"> become and be immediately due and payable without any declaration or other act on the part of the Trustee or any holders of debt securities.</w:t>
      </w:r>
    </w:p>
    <w:p>
      <w:pPr>
        <w:spacing w:after="0" w:line="149" w:lineRule="exact"/>
        <w:rPr>
          <w:sz w:val="20"/>
          <w:szCs w:val="20"/>
          <w:color w:val="auto"/>
        </w:rPr>
      </w:pPr>
    </w:p>
    <w:p>
      <w:pPr>
        <w:jc w:val="both"/>
        <w:ind w:left="1480" w:right="339" w:firstLine="333"/>
        <w:spacing w:after="0" w:line="293" w:lineRule="auto"/>
        <w:rPr>
          <w:sz w:val="20"/>
          <w:szCs w:val="20"/>
          <w:color w:val="auto"/>
        </w:rPr>
      </w:pPr>
      <w:r>
        <w:rPr>
          <w:rFonts w:ascii="Times New Roman" w:cs="Times New Roman" w:eastAsia="Times New Roman" w:hAnsi="Times New Roman"/>
          <w:sz w:val="12"/>
          <w:szCs w:val="12"/>
          <w:color w:val="auto"/>
        </w:rPr>
        <w:t>Subject to certain restrictions, no holder of any debt securities of any series shall have any right to institute any proceeding with respect to the Existing Indenture or the debt securities of such series or for any remedy thereunder, unless such holder previously shall have given to the Trustee written notice of a continuing Event of Default with respect to the debt securities of such series and unless also the holders of not less than 30% in aggregate principal amount of the outstanding debt securities of such series shall have made written request upon the Trustee, and have offered to the Trustee indemnity satisfactory to the Trustee against the costs, expenses and liabilities to be incurred in compliance with the request, and the Trustee, for 60 days after receipt of such notice, request and offer of indemnity, shall have failed to institute such proceeding and, during such 60-day period, the Trustee shall not have received direction inconsistent with such request in writing by the holders of a majority in aggregate principal amount of the outstanding debt securities of such series. These limitations do not apply, however, to a suit instituted by a holder of a debt security for the enforcement of payment of the principal of, premium, if any, or interest on such note on or after the respective due date expressed in such debt security.</w:t>
      </w:r>
    </w:p>
    <w:p>
      <w:pPr>
        <w:spacing w:after="0" w:line="286" w:lineRule="exact"/>
        <w:rPr>
          <w:sz w:val="20"/>
          <w:szCs w:val="20"/>
          <w:color w:val="auto"/>
        </w:rPr>
      </w:pPr>
    </w:p>
    <w:p>
      <w:pPr>
        <w:jc w:val="both"/>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Subject to certain restrictions, the holders of a majority in aggregate principal amount of the outstanding debt securities of a series will have the right to direct the time, method and place of conducting any proceeding for exercising any remedy available to the Trustee or of exercising any trust or power conferred on the Trustee with respect to such series, and the Trustee may act at the direction of holders of debt securities without liability. The Trustee, however, may refuse to follow any direction that conflicts with law or the Existing Indenture or that the Trustee determines is unduly prejudicial to the rights of any other holder of a debt security of such series or that would involve the Trustee in personal liability.</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 xml:space="preserve">If a Default with respect to any series of debt securities occurs and is continuing and the Trustee has received written notice thereof, the Trustee must mail (or otherwise transmit in accordance with the procedures of The Depository Trust Company) to each holder of such series of debt securities notice of the Default within 90 days of having received such notice;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except in the case of a Default in the payment of principal or premium, if any, or interest on any debt security, the Trustee may withhold from the holders of such series of debt securities notice of any continuing Default if and so long as a committee of the Trustee’s responsible officers in good faith determines that withholding the notice is in the interests of the holders of such series of debt securities. The Issuers will be required to deliver to the Trustee, within 120 days after the end of each fiscal year of Dell Technologies, an officer’s certificate indicating whether the signer of the certificate knows of any failure by the Issuers or the Guarantors to comply with all conditions and covenants of the Existing Indenture during such fiscal year.</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Amendment, Supplement and Waiver</w:t>
      </w:r>
    </w:p>
    <w:p>
      <w:pPr>
        <w:spacing w:after="0" w:line="88"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To the extent permitted by the Existing Indenture and subject to the following paragraphs, without the consent of any holders of debt securities, the Issuers, the Guarantors and the Trustee may from time to time amend, supplement or modify the Existing Indenture, including to provide for the issuance of additional debt securities under the Existing Indenture (including Additional Securities of such series, if any).</w:t>
      </w:r>
    </w:p>
    <w:p>
      <w:pPr>
        <w:spacing w:after="0" w:line="142" w:lineRule="exact"/>
        <w:rPr>
          <w:sz w:val="20"/>
          <w:szCs w:val="20"/>
          <w:color w:val="auto"/>
        </w:rPr>
      </w:pPr>
    </w:p>
    <w:p>
      <w:pPr>
        <w:jc w:val="both"/>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 xml:space="preserve">Subject to certain exceptions, modifications and amendments of the Existing Indenture, the debt securities of one or more series and the Security Guarantees may be made by the Issuers, any Guarantor (with respect to its Security Guarantee) and the Trustee with the consent of the holders of not less than a majority in aggregate principal amount of the outstanding debt securities of such series (including Additional Securities of such series, if any) then outstanding voting as a single class (including consents obtained in connection with a purchase of, or a tender offer or exchange offer for, the debt securities of such series), and any past Default or Event of Default with respect to such series of debt securities or compliance in respect of a series of debt securities with any provision of the Existing Indenture, the Security Guarantees or such series of debt securities may be waived with the consent of the holders of not less than a majority in aggregate principal amount of the then outstanding debt securities of such series (including Additional Securities of such series, if any) voting as a single class (including consents obtained in connection with a tender offer or exchange offer for, or purchase of, the debt securities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no such modification or amendment may, without the consent of the holder of each outstanding debt security affected thereby:</w:t>
      </w:r>
    </w:p>
    <w:p>
      <w:pPr>
        <w:spacing w:after="0" w:line="82" w:lineRule="exact"/>
        <w:rPr>
          <w:sz w:val="20"/>
          <w:szCs w:val="20"/>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principal of or interest on, any such debt security;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the rate of interest on, any such debt security;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if any, or redemption price payable upon the redemption of any such debt security;</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the principal of an original discount debt security that would be due and payable upon a declaration of acceleration of the maturity thereof;</w:t>
      </w:r>
    </w:p>
    <w:p>
      <w:pPr>
        <w:spacing w:after="0" w:line="64" w:lineRule="exact"/>
        <w:rPr>
          <w:rFonts w:ascii="Times New Roman" w:cs="Times New Roman" w:eastAsia="Times New Roman" w:hAnsi="Times New Roman"/>
          <w:sz w:val="14"/>
          <w:szCs w:val="14"/>
          <w:color w:val="auto"/>
        </w:rPr>
      </w:pPr>
    </w:p>
    <w:p>
      <w:pPr>
        <w:ind w:left="2220" w:right="339" w:hanging="334"/>
        <w:spacing w:after="0" w:line="264" w:lineRule="auto"/>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place of payment where, or the coin or currency in which, the principal of, premium, if any, or interest on any such debt security is payable;</w:t>
      </w:r>
    </w:p>
    <w:p>
      <w:pPr>
        <w:spacing w:after="0" w:line="64" w:lineRule="exact"/>
        <w:rPr>
          <w:rFonts w:ascii="Times New Roman" w:cs="Times New Roman" w:eastAsia="Times New Roman" w:hAnsi="Times New Roman"/>
          <w:sz w:val="14"/>
          <w:szCs w:val="14"/>
          <w:color w:val="auto"/>
        </w:rPr>
      </w:pPr>
    </w:p>
    <w:p>
      <w:pPr>
        <w:jc w:val="both"/>
        <w:ind w:left="2220" w:right="339" w:hanging="334"/>
        <w:spacing w:after="0" w:line="254" w:lineRule="auto"/>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contractual right expressly set forth in the Existing Indenture or any debt security of any holder to institute suit for the enforcement of any payment of principal of, premium, if any, or interest (or Additional Amounts, if any) on such debt security on or after the stated maturity or redemption date of any such debt security;</w:t>
      </w:r>
    </w:p>
    <w:p>
      <w:pPr>
        <w:spacing w:after="0" w:line="70" w:lineRule="exact"/>
        <w:rPr>
          <w:rFonts w:ascii="Times New Roman" w:cs="Times New Roman" w:eastAsia="Times New Roman" w:hAnsi="Times New Roman"/>
          <w:sz w:val="14"/>
          <w:szCs w:val="14"/>
          <w:color w:val="auto"/>
        </w:rPr>
      </w:pPr>
    </w:p>
    <w:p>
      <w:pPr>
        <w:jc w:val="both"/>
        <w:ind w:left="2220" w:right="359" w:hanging="334"/>
        <w:spacing w:after="0" w:line="254" w:lineRule="auto"/>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aggregate principal amount of the outstanding debt securities of any series, the consent of whose holders is required to approve any such modification or amendment or for any waiver of compliance with certain provisions of the Existing Indenture or of certain Defaults;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2220" w:right="339" w:hanging="334"/>
        <w:spacing w:after="0" w:line="250" w:lineRule="auto"/>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in the Existing Indenture regarding the waiver of past Defaults and the waiver of certain covenants by the holders of each such debt security affected thereby, except to increase any percentage vote required or to provide that certain other provisions of the Existing Indenture may not be modified or waived without the consent of the holder of each debt security affected thereby; or</w:t>
      </w:r>
    </w:p>
    <w:p>
      <w:pPr>
        <w:spacing w:after="0" w:line="7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above provisions.</w:t>
      </w:r>
    </w:p>
    <w:p>
      <w:pPr>
        <w:spacing w:after="0" w:line="166"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Notwithstanding the foregoing, the Issuers, the Guarantors (only with respect to its Security Guarantee, and for the avoidance of doubt excluding any amendment or supplement the sole purpose of which is to add an additional Guarantor) and the Trustee may amend or supplement the Existing Indenture or the debt securities of one or more series and any related Security Guarantee without the consent of any holder:</w:t>
      </w:r>
    </w:p>
    <w:p>
      <w:pPr>
        <w:spacing w:after="0" w:line="71" w:lineRule="exact"/>
        <w:rPr>
          <w:sz w:val="20"/>
          <w:szCs w:val="20"/>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or omission or correct any defect or inconsistency;</w:t>
      </w:r>
    </w:p>
    <w:p>
      <w:pPr>
        <w:spacing w:after="0" w:line="94" w:lineRule="exact"/>
        <w:rPr>
          <w:rFonts w:ascii="Times New Roman" w:cs="Times New Roman" w:eastAsia="Times New Roman" w:hAnsi="Times New Roman"/>
          <w:sz w:val="14"/>
          <w:szCs w:val="14"/>
          <w:color w:val="auto"/>
        </w:rPr>
      </w:pPr>
    </w:p>
    <w:p>
      <w:pPr>
        <w:jc w:val="both"/>
        <w:ind w:left="2220" w:right="339" w:hanging="334"/>
        <w:spacing w:after="0" w:line="25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convey, transfer, assign, mortgage or pledge any property to or with the Trustee, or to make such other provisions in regard to matters or questions arising under the Existing Indenture, in each case as shall not adversely affect the interests of any holders of the debt securities of such series in any material respect;</w:t>
      </w:r>
    </w:p>
    <w:p>
      <w:pPr>
        <w:spacing w:after="0" w:line="70" w:lineRule="exact"/>
        <w:rPr>
          <w:rFonts w:ascii="Times New Roman" w:cs="Times New Roman" w:eastAsia="Times New Roman" w:hAnsi="Times New Roman"/>
          <w:sz w:val="14"/>
          <w:szCs w:val="14"/>
          <w:color w:val="auto"/>
        </w:rPr>
      </w:pPr>
    </w:p>
    <w:p>
      <w:pPr>
        <w:jc w:val="both"/>
        <w:ind w:left="2220" w:right="359" w:hanging="334"/>
        <w:spacing w:after="0" w:line="25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an Issuer or any Guarantor and the assumption by any such successor of the covenants, agreements and obligations of such Issuer or Guarantor, as the case may be, under the debt securities, the Security Guarantees or the Existing Indenture, as described above under “</w:t>
      </w:r>
      <w:r>
        <w:rPr>
          <w:rFonts w:ascii="Times New Roman" w:cs="Times New Roman" w:eastAsia="Times New Roman" w:hAnsi="Times New Roman"/>
          <w:sz w:val="14"/>
          <w:szCs w:val="14"/>
          <w:i w:val="1"/>
          <w:iCs w:val="1"/>
          <w:color w:val="auto"/>
        </w:rPr>
        <w:t>Merger, Consolidation, Amalgamation or Sale of All or Substantially All Assets</w:t>
      </w:r>
      <w:r>
        <w:rPr>
          <w:rFonts w:ascii="Times New Roman" w:cs="Times New Roman" w:eastAsia="Times New Roman" w:hAnsi="Times New Roman"/>
          <w:sz w:val="14"/>
          <w:szCs w:val="14"/>
          <w:color w:val="auto"/>
        </w:rPr>
        <w:t>”;</w:t>
      </w:r>
    </w:p>
    <w:p>
      <w:pPr>
        <w:spacing w:after="0" w:line="70" w:lineRule="exact"/>
        <w:rPr>
          <w:rFonts w:ascii="Times New Roman" w:cs="Times New Roman" w:eastAsia="Times New Roman" w:hAnsi="Times New Roman"/>
          <w:sz w:val="14"/>
          <w:szCs w:val="14"/>
          <w:color w:val="auto"/>
        </w:rPr>
      </w:pPr>
    </w:p>
    <w:p>
      <w:pPr>
        <w:jc w:val="both"/>
        <w:ind w:left="2220" w:right="359" w:hanging="334"/>
        <w:spacing w:after="0" w:line="250"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right or power conferred upon the Issuers with respect to such series or to add further covenants, restrictions, conditions or provisions relating to the Issuers or the Guarantors for the protection of the holders of any series of debt securities, and to add any additional defaults or Events of Default for the Issuers’ or any Guarantor’s failure to comply with any such further covenants, restrictions, conditions or provisions;</w:t>
      </w:r>
    </w:p>
    <w:p>
      <w:pPr>
        <w:spacing w:after="0" w:line="7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modify or amend the Existing Indenture (including any supplemental indenture) to make changes as are required for the Existing Indenture to comply with the Trust Indenture Act;</w:t>
      </w:r>
    </w:p>
    <w:p>
      <w:pPr>
        <w:spacing w:after="0" w:line="64" w:lineRule="exact"/>
        <w:rPr>
          <w:rFonts w:ascii="Times New Roman" w:cs="Times New Roman" w:eastAsia="Times New Roman" w:hAnsi="Times New Roman"/>
          <w:sz w:val="14"/>
          <w:szCs w:val="14"/>
          <w:color w:val="auto"/>
        </w:rPr>
      </w:pPr>
    </w:p>
    <w:p>
      <w:pPr>
        <w:ind w:left="2220" w:right="339" w:hanging="334"/>
        <w:spacing w:after="0" w:line="26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Security Guarantees with respect to any or all of the debt securities of such series or to release any Guarantor or Security Guarantee if at the time of such release such Guarantor is not otherwise required to be a Guarantor;</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collateral with respect to any or all of the debt securities of such series;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Additional Securities in accordance with the terms of the Existing Indenture;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 of such series;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by a successor or separate Trustee with respect to the debt securities of such series;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rules of any applicable securities depositary;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94" w:lineRule="exact"/>
        <w:rPr>
          <w:rFonts w:ascii="Times New Roman" w:cs="Times New Roman" w:eastAsia="Times New Roman" w:hAnsi="Times New Roman"/>
          <w:sz w:val="14"/>
          <w:szCs w:val="14"/>
          <w:color w:val="auto"/>
        </w:rPr>
      </w:pPr>
    </w:p>
    <w:p>
      <w:pPr>
        <w:jc w:val="both"/>
        <w:ind w:left="2220" w:right="359" w:hanging="334"/>
        <w:spacing w:after="0" w:line="250"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text of the Existing Indenture, the debt securities, any related Security Guarantee or any security documents to the description of such debt securities contained in this prospectus, any prospectus supplement or any similar document with respect to the offering of the debt securities of such series to the extent such descriptions were intended to be a verbatim recitation of a provision in the Existing Indenture, such debt securities, such Security Guarantee or such security documents;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8"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9" w:lineRule="exact"/>
        <w:rPr>
          <w:sz w:val="20"/>
          <w:szCs w:val="20"/>
          <w:color w:val="auto"/>
        </w:rPr>
      </w:pPr>
    </w:p>
    <w:p>
      <w:pPr>
        <w:jc w:val="both"/>
        <w:ind w:left="2220" w:right="339" w:hanging="334"/>
        <w:spacing w:after="0" w:line="251" w:lineRule="auto"/>
        <w:tabs>
          <w:tab w:leader="none" w:pos="2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make any amendment to the provisions of the Existing Indenture relating to the transfer and legending of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(a) compliance with the Existing Indenture as so amended would not result in such debt securities being transferred in violation of the Securities Act or any other applicable securities law and (b) such amendment does not adversely affect the rights of holders to transfer such debt securities; or</w:t>
      </w:r>
    </w:p>
    <w:p>
      <w:pPr>
        <w:spacing w:after="0" w:line="7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forms or terms of debt securities of any series as permitted by the provisions of the Existing Indenture.</w:t>
      </w:r>
    </w:p>
    <w:p>
      <w:pPr>
        <w:spacing w:after="0" w:line="166" w:lineRule="exact"/>
        <w:rPr>
          <w:sz w:val="20"/>
          <w:szCs w:val="20"/>
          <w:color w:val="auto"/>
        </w:rPr>
      </w:pPr>
    </w:p>
    <w:p>
      <w:pPr>
        <w:jc w:val="both"/>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The consent of the holders of debt securities is not necessary to approve the particular form of any proposed amendment. It is sufficient if such consent approves the substance of the proposed amendment.</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88" w:lineRule="exact"/>
        <w:rPr>
          <w:sz w:val="20"/>
          <w:szCs w:val="20"/>
          <w:color w:val="auto"/>
        </w:rPr>
      </w:pPr>
    </w:p>
    <w:p>
      <w:pPr>
        <w:jc w:val="both"/>
        <w:ind w:left="1480" w:right="339" w:firstLine="333"/>
        <w:spacing w:after="0" w:line="245" w:lineRule="auto"/>
        <w:rPr>
          <w:sz w:val="20"/>
          <w:szCs w:val="20"/>
          <w:color w:val="auto"/>
        </w:rPr>
      </w:pPr>
      <w:r>
        <w:rPr>
          <w:rFonts w:ascii="Times New Roman" w:cs="Times New Roman" w:eastAsia="Times New Roman" w:hAnsi="Times New Roman"/>
          <w:sz w:val="14"/>
          <w:szCs w:val="14"/>
          <w:color w:val="auto"/>
        </w:rPr>
        <w:t xml:space="preserve">The Existing Indenture provides that, when (1) the Issuers deliver to the Trustee all outstanding debt securities of a series under the Existing Indenture for cancellation or (2) all outstanding debt securities of a series under the Existing Indenture not previously delivered to the Trustee for cancellation have become due and payable, whether at maturity or on a redemption date as a result of the mailing of notice of redemption, will become due and payable within one year, or are to be called for redemption within one year under arrangements reasonably satisfactory to the Trustee for the giving of notice of redemption by the Trustee in the name, and at the expense, of the Issuers, and, in the case of clause (2), the Issuers irrevocably deposit with the Trustee U.S. dollars, or U.S. government obligations, or both, sufficient to pay at maturity or upon redemption all such outstanding debt securities of such series, including interest thereon to maturity or such redemption date, and if in either case the Issuers pay all other sums payable by the Issuers under the Existing Indenture with respect to such series of debt securities and satisfy certain other conditions, then the Existing Indenture will, subject to certain exceptions, cease to be of further effect with respect to such series of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upon any redemption that occurs prior to a par call date, the amount deposited shall be sufficient for purposes of the Existing Indenture to the extent that an amount is deposited with the Trustee equal to the redemption price calculated as of the date of the notice of redemption, with any deficit as of the date of redemption (any such amount, the “Redemption Price Deficit”) only required to be deposited with the Trustee on or prior to the date of redemption. Any Redemption Price Deficit shall be set forth in an officer’s certificate delivered to the Trustee simultaneously with the deposit of such Redemption Price Deficit that confirms that such Redemption Price Deficit shall be applied toward such redemption.</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Legal Defeasance and Covenant Defeasance</w:t>
      </w:r>
    </w:p>
    <w:p>
      <w:pPr>
        <w:spacing w:after="0" w:line="88" w:lineRule="exact"/>
        <w:rPr>
          <w:sz w:val="20"/>
          <w:szCs w:val="20"/>
          <w:color w:val="auto"/>
        </w:rPr>
      </w:pPr>
    </w:p>
    <w:p>
      <w:pPr>
        <w:jc w:val="both"/>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The Existing Indenture provides that the Issuers may elect with respect to any series of debt securities either (1) to defease and be discharged from any and all obligations with respect to such debt securities (except for, among other things, certain obligations to register the transfer or exchange of the debt securities, to replace temporary or mutilated, destroyed, lost or stolen debt securities, to maintain an office or agency with respect to debt securities and to hold moneys for payment in trust) (“legal defeasance”) or (2) to be released from their obligations to comply with the restrictive covenants under the Existing Indenture, and any omission to comply with such obligations will not constitute a Default or an Event of Default with respect to such debt securities, and clause (3) under “Events of Default” will no longer be applied (“covenant defeasance”). If the Issuers exercise their legal defeasance option or their covenant defeasance option with respect to a series of debt securities, each Guarantor will be released from all of its obligations with respect to its Security Guarantee with respect to such series of debt securities. Legal defeasance or covenant defeasance, as the case may be, will be conditioned upon, among other things, the irrevocable deposit by the Issuers with the Trustee, in trust, of an amount in U.S. dollars, or U.S. government obligations (that through the scheduled payment of principal and interest in accordance with their terms will provide money in an amount), or both, sufficient in the opinion of a nationally recognized public accounting firm to pay the principal or premium, if any, and interest on the applicable debt securities on the scheduled due dates therefor.</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If the Issuers effect covenant defeasance with respect to any series of debt securities and such debt securities are declared due and payable because of the occurrence of any Event of Default other than under clause (3) under “</w:t>
      </w:r>
      <w:r>
        <w:rPr>
          <w:rFonts w:ascii="Times New Roman" w:cs="Times New Roman" w:eastAsia="Times New Roman" w:hAnsi="Times New Roman"/>
          <w:sz w:val="14"/>
          <w:szCs w:val="14"/>
          <w:i w:val="1"/>
          <w:iCs w:val="1"/>
          <w:color w:val="auto"/>
        </w:rPr>
        <w:t>Events of Default</w:t>
      </w:r>
      <w:r>
        <w:rPr>
          <w:rFonts w:ascii="Times New Roman" w:cs="Times New Roman" w:eastAsia="Times New Roman" w:hAnsi="Times New Roman"/>
          <w:sz w:val="14"/>
          <w:szCs w:val="14"/>
          <w:color w:val="auto"/>
        </w:rPr>
        <w:t>,” the amount in U.S. dollars, or U.S. government obligations, or both, on deposit with the Trustee will be sufficient, in the opinion of a nationally recognized firm of independent public accountants, to pay amounts due on such debt securities at the time of the stated maturity but may not be sufficient to pay amounts due on such debt securities at the time of the acceleration resulting from such Event of Default. However, the Issuers would remain liable to make payment of such amounts due at the time of acceleration.</w:t>
      </w:r>
    </w:p>
    <w:p>
      <w:pPr>
        <w:spacing w:after="0" w:line="150" w:lineRule="exact"/>
        <w:rPr>
          <w:sz w:val="20"/>
          <w:szCs w:val="20"/>
          <w:color w:val="auto"/>
        </w:rPr>
      </w:pPr>
    </w:p>
    <w:p>
      <w:pPr>
        <w:jc w:val="both"/>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To effect legal defeasance or covenant defeasance, the Issuers will be required to deliver to the Trustee an opinion of counsel that the deposit and related defeasance will not cause the holders of the applicable debt securities to recognize income, gain or loss for U.S. federal income tax purposes. If the Issuers elect legal defeasance, that opinion of counsel must be based upon a ruling from the U.S. Internal Revenue Service or a change in law to that effect.</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Issuers may exercise their legal defeasance option notwithstanding their prior exercise of their covenant defeasance option.</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Form of Debt Securities</w:t>
      </w:r>
    </w:p>
    <w:p>
      <w:pPr>
        <w:spacing w:after="0" w:line="88" w:lineRule="exact"/>
        <w:rPr>
          <w:sz w:val="20"/>
          <w:szCs w:val="20"/>
          <w:color w:val="auto"/>
        </w:rPr>
      </w:pPr>
    </w:p>
    <w:p>
      <w:pPr>
        <w:jc w:val="both"/>
        <w:ind w:left="1480" w:right="359" w:firstLine="333"/>
        <w:spacing w:after="0" w:line="349" w:lineRule="auto"/>
        <w:rPr>
          <w:sz w:val="20"/>
          <w:szCs w:val="20"/>
          <w:color w:val="auto"/>
        </w:rPr>
      </w:pPr>
      <w:r>
        <w:rPr>
          <w:rFonts w:ascii="Times New Roman" w:cs="Times New Roman" w:eastAsia="Times New Roman" w:hAnsi="Times New Roman"/>
          <w:sz w:val="12"/>
          <w:szCs w:val="12"/>
          <w:color w:val="auto"/>
        </w:rPr>
        <w:t>Each debt security will be represented either by a certificate issued in definitive form to a particular investor or by one or more global securities representing the entire issuance of securities. Certificated securities in definitive form and global securities will be issued in registered form.</w:t>
      </w:r>
    </w:p>
    <w:p>
      <w:pPr>
        <w:spacing w:after="0" w:line="89"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Definitive securities name you or your nominee as the owner of the security, and in order to transfer or exchange these securities or to receive payments other than interest or other interim payments, you or your nominee must physically deliver the securities to the office or agency designated by the Issuers. Global securities name a depositary or its nominee as the owner of the debt securities represented by the global securities.</w:t>
      </w:r>
    </w:p>
    <w:p>
      <w:pPr>
        <w:spacing w:after="0" w:line="142" w:lineRule="exact"/>
        <w:rPr>
          <w:sz w:val="20"/>
          <w:szCs w:val="20"/>
          <w:color w:val="auto"/>
        </w:rPr>
      </w:pPr>
    </w:p>
    <w:p>
      <w:pPr>
        <w:jc w:val="both"/>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We may issue the debt securities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50"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Ownership of beneficial interests in a global security will be limited to persons, called participants, that have accounts with the depositary.</w:t>
      </w:r>
    </w:p>
    <w:p>
      <w:pPr>
        <w:spacing w:after="0" w:line="166" w:lineRule="exact"/>
        <w:rPr>
          <w:sz w:val="20"/>
          <w:szCs w:val="20"/>
          <w:color w:val="auto"/>
        </w:rPr>
      </w:pPr>
    </w:p>
    <w:p>
      <w:pPr>
        <w:jc w:val="both"/>
        <w:ind w:left="1480" w:right="339" w:firstLine="333"/>
        <w:spacing w:after="0" w:line="247" w:lineRule="auto"/>
        <w:rPr>
          <w:sz w:val="20"/>
          <w:szCs w:val="20"/>
          <w:color w:val="auto"/>
        </w:rPr>
      </w:pPr>
      <w:r>
        <w:rPr>
          <w:rFonts w:ascii="Times New Roman" w:cs="Times New Roman" w:eastAsia="Times New Roman" w:hAnsi="Times New Roman"/>
          <w:sz w:val="14"/>
          <w:szCs w:val="14"/>
          <w:color w:val="auto"/>
        </w:rPr>
        <w:t>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8"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339" w:firstLine="333"/>
        <w:spacing w:after="0" w:line="245"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Existing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Existing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Existing Indenture. We understand that under existing industry practices, if we request any action of holders or if an owner of a beneficial interest in a global security desires to give or take any action that a holder is entitled to give or take under the Existing Indenture,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53" w:lineRule="exact"/>
        <w:rPr>
          <w:sz w:val="20"/>
          <w:szCs w:val="20"/>
          <w:color w:val="auto"/>
        </w:rPr>
      </w:pPr>
    </w:p>
    <w:p>
      <w:pPr>
        <w:jc w:val="both"/>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Principal (or premium, if any) and interest payments on debt securities represented by a global security registered in the name of a depositary or its nominee will be made to the depositary or its nominee, as the case may be, as the registered owner of the global security.</w:t>
      </w:r>
    </w:p>
    <w:p>
      <w:pPr>
        <w:spacing w:after="0" w:line="136" w:lineRule="exact"/>
        <w:rPr>
          <w:sz w:val="20"/>
          <w:szCs w:val="20"/>
          <w:color w:val="auto"/>
        </w:rPr>
      </w:pPr>
    </w:p>
    <w:p>
      <w:pPr>
        <w:jc w:val="both"/>
        <w:ind w:left="1480" w:right="339" w:firstLine="333"/>
        <w:spacing w:after="0" w:line="248" w:lineRule="auto"/>
        <w:rPr>
          <w:sz w:val="20"/>
          <w:szCs w:val="20"/>
          <w:color w:val="auto"/>
        </w:rPr>
      </w:pPr>
      <w:r>
        <w:rPr>
          <w:rFonts w:ascii="Times New Roman" w:cs="Times New Roman" w:eastAsia="Times New Roman" w:hAnsi="Times New Roman"/>
          <w:sz w:val="14"/>
          <w:szCs w:val="14"/>
          <w:color w:val="auto"/>
        </w:rPr>
        <w:t>We expect that the depositary for any of the securities represented by a global security, upon receipt of any payment of principal, premium, interest or other distribution of underlying securities or other property to holders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and will be the responsibility of those participants.</w:t>
      </w:r>
    </w:p>
    <w:p>
      <w:pPr>
        <w:spacing w:after="0" w:line="149" w:lineRule="exact"/>
        <w:rPr>
          <w:sz w:val="20"/>
          <w:szCs w:val="20"/>
          <w:color w:val="auto"/>
        </w:rPr>
      </w:pPr>
    </w:p>
    <w:p>
      <w:pPr>
        <w:jc w:val="both"/>
        <w:ind w:left="1480" w:right="339" w:firstLine="333"/>
        <w:spacing w:after="0" w:line="248" w:lineRule="auto"/>
        <w:rPr>
          <w:sz w:val="20"/>
          <w:szCs w:val="20"/>
          <w:color w:val="auto"/>
        </w:rPr>
      </w:pPr>
      <w:r>
        <w:rPr>
          <w:rFonts w:ascii="Times New Roman" w:cs="Times New Roman" w:eastAsia="Times New Roman" w:hAnsi="Times New Roman"/>
          <w:sz w:val="14"/>
          <w:szCs w:val="14"/>
          <w:color w:val="auto"/>
        </w:rPr>
        <w:t>We may at any time and in our sole discretion decide not to have any of the securities represented by one or more global securities. If we make that decision, we will issue securities in definitive form in exchange for the global security or securities representing those securities. Any securities issued in definitive form in exchange for a global security will be registered in the name or names that the depositary gives to the Trustee or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88"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The Trustee is The Bank of New York Mellon Trust Company, N.A., which maintains its corporate trust offices at 601 Travis Street, 16th Floor, Houston, Texas 77002. The Trustee provides certain corporate trust services to us in the ordinary course of business and may provide such services in the future. The Trustee is the trustee under indentures covering certain of our outstanding notes and debentures.</w:t>
      </w:r>
    </w:p>
    <w:p>
      <w:pPr>
        <w:spacing w:after="0" w:line="142" w:lineRule="exact"/>
        <w:rPr>
          <w:sz w:val="20"/>
          <w:szCs w:val="20"/>
          <w:color w:val="auto"/>
        </w:rPr>
      </w:pPr>
    </w:p>
    <w:p>
      <w:pPr>
        <w:jc w:val="both"/>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The Existing Indenture contains certain limitations on the rights of the Trustee, should it become a creditor of an Issuer or a Guarantor, to obtain payment of claims in certain cases, or to realize on certain property received in respect of any such claim as security or otherwise. The Trustee is permitted to engage in other transactions; however, if it acquires any conflicting interest it must eliminate such conflict within 90 days, apply to the SEC for permission to continue or resign as Trustee.</w:t>
      </w:r>
    </w:p>
    <w:p>
      <w:pPr>
        <w:spacing w:after="0" w:line="146"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The Existing Indenture provides that in case an Event of Default shall occur (which shall not be cured), the Trustee will be required, in the exercise of its power, to use the degree of care of a prudent person under the circumstances in the conduct of his own affairs. The Trustee is under no obligation to exercise any of its rights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8"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204075" cy="31750"/>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359"/>
        <w:spacing w:after="0" w:line="264" w:lineRule="auto"/>
        <w:rPr>
          <w:sz w:val="20"/>
          <w:szCs w:val="20"/>
          <w:color w:val="auto"/>
        </w:rPr>
      </w:pPr>
      <w:r>
        <w:rPr>
          <w:rFonts w:ascii="Times New Roman" w:cs="Times New Roman" w:eastAsia="Times New Roman" w:hAnsi="Times New Roman"/>
          <w:sz w:val="14"/>
          <w:szCs w:val="14"/>
          <w:color w:val="auto"/>
        </w:rPr>
        <w:t>powers under the Existing Indenture at the request of any holders of debt securities, unless such holder shall have offered to the Trustee security and indemnity satisfactory to it against any loss, liability or expense.</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8"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The Existing Indenture is governed by, and construed in accordance with, the laws of the State of New York. The Existing Indenture is subject to the provisions of the Trust Indenture Act that are required to be part of the Existing Indenture and is, to the extent applicable, governed by such provisions.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Certain Compliance Determinations</w:t>
      </w:r>
    </w:p>
    <w:p>
      <w:pPr>
        <w:spacing w:after="0" w:line="88" w:lineRule="exact"/>
        <w:rPr>
          <w:sz w:val="20"/>
          <w:szCs w:val="20"/>
          <w:color w:val="auto"/>
        </w:rPr>
      </w:pPr>
    </w:p>
    <w:p>
      <w:pPr>
        <w:jc w:val="both"/>
        <w:ind w:left="1480" w:right="359" w:firstLine="333"/>
        <w:spacing w:after="0" w:line="300" w:lineRule="auto"/>
        <w:rPr>
          <w:sz w:val="20"/>
          <w:szCs w:val="20"/>
          <w:color w:val="auto"/>
        </w:rPr>
      </w:pPr>
      <w:r>
        <w:rPr>
          <w:rFonts w:ascii="Times New Roman" w:cs="Times New Roman" w:eastAsia="Times New Roman" w:hAnsi="Times New Roman"/>
          <w:sz w:val="12"/>
          <w:szCs w:val="12"/>
          <w:color w:val="auto"/>
        </w:rPr>
        <w:t>The Existing Indenture provides that, if a Guarantor is either (1) a direct or indirect parent company of Dell Technologies and does not hold any material assets other than the Equity Interests of Dell Technologies or (2) a direct or indirect wholly-owned subsidiary of Dell Technologies and does not hold any material assets other than the Equity Interests of the Issuers and their direct or indirect parent companies (in each case, as determined in good faith by the board of directors (or similar governing body) or senior management of such Guarantor), any calculations or measures that are stated to be determined with reference to Dell Technologies’ financial statements may be determined with reference to such Guarantor’s financial statements instead.</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8"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204075" cy="31750"/>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The Issuers may sell the offered securities from time to time in one or more transactions: (a) through agents; (b) through underwriters or dealers;</w:t>
      </w:r>
    </w:p>
    <w:p>
      <w:pPr>
        <w:spacing w:after="0" w:line="37" w:lineRule="exact"/>
        <w:rPr>
          <w:sz w:val="20"/>
          <w:szCs w:val="20"/>
          <w:color w:val="auto"/>
        </w:rPr>
      </w:pPr>
    </w:p>
    <w:p>
      <w:pPr>
        <w:jc w:val="both"/>
        <w:ind w:left="1480" w:right="339" w:hanging="3"/>
        <w:spacing w:after="0" w:line="245" w:lineRule="auto"/>
        <w:tabs>
          <w:tab w:leader="none" w:pos="166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 (d) in privately negotiated transactions; (e) directly to one or more purchasers; or (f) through a combination of any of these methods of sale. We will identify the specific plan of distribution, including any underwriters, dealers, agents or direct purchasers and their compensation, in a prospectus supplement.</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8"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88" w:lineRule="exact"/>
        <w:rPr>
          <w:sz w:val="20"/>
          <w:szCs w:val="20"/>
          <w:color w:val="auto"/>
        </w:rPr>
      </w:pPr>
    </w:p>
    <w:p>
      <w:pPr>
        <w:jc w:val="both"/>
        <w:ind w:left="1480" w:right="339" w:firstLine="333"/>
        <w:spacing w:after="0" w:line="250" w:lineRule="auto"/>
        <w:rPr>
          <w:sz w:val="20"/>
          <w:szCs w:val="20"/>
          <w:color w:val="auto"/>
        </w:rPr>
      </w:pPr>
      <w:r>
        <w:rPr>
          <w:rFonts w:ascii="Times New Roman" w:cs="Times New Roman" w:eastAsia="Times New Roman" w:hAnsi="Times New Roman"/>
          <w:sz w:val="14"/>
          <w:szCs w:val="14"/>
          <w:color w:val="auto"/>
        </w:rPr>
        <w:t>The validity and enforceability of the securities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Management Company III, L.L.C. and Silver Lake Management Company IV, L.L.C.</w:t>
      </w:r>
    </w:p>
    <w:p>
      <w:pPr>
        <w:spacing w:after="0" w:line="3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jc w:val="both"/>
        <w:ind w:left="1480" w:right="339" w:firstLine="333"/>
        <w:spacing w:after="0" w:line="250"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January 30, 2026 have been so incorporated in reliance on the report of PricewaterhouseCoopers LLP, an independent registered public accounting firm, given on the authority of said firm as experts in auditing and accounting.</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8"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180975</wp:posOffset>
            </wp:positionV>
            <wp:extent cx="529145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291455" cy="1270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219710</wp:posOffset>
            </wp:positionV>
            <wp:extent cx="529145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5291455" cy="63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$3,000,000,000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135890</wp:posOffset>
            </wp:positionV>
            <wp:extent cx="1770380" cy="2266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1770380" cy="22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$1,000,000,000 4.750% Senior Notes due 2031</w:t>
      </w:r>
    </w:p>
    <w:p>
      <w:pPr>
        <w:spacing w:after="0" w:line="1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$750,000,000 5.000% Senior Notes due 2034</w:t>
      </w:r>
    </w:p>
    <w:p>
      <w:pPr>
        <w:spacing w:after="0" w:line="14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$1,250,000,000 5.250% Senior Notes due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182245</wp:posOffset>
            </wp:positionV>
            <wp:extent cx="110871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8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177800</wp:posOffset>
            </wp:positionV>
            <wp:extent cx="110871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Barclays</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BofA Securities</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Goldman Sachs &amp; Co. LLC</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HSBC</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J.P. Morgan</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PNC Capital Markets LLC</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BNP PARIBAS</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Citigroup</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Deutsche Bank Securities</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Mizuho</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Morgan Stanley</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MUFG</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RBC Capital Markets</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Scotiabank</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SOCIETE GENERALE</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TD Securities</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UBS Investment Bank</w:t>
      </w:r>
    </w:p>
    <w:p>
      <w:pPr>
        <w:spacing w:after="0" w:line="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171450</wp:posOffset>
            </wp:positionV>
            <wp:extent cx="110871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i w:val="1"/>
          <w:iCs w:val="1"/>
          <w:color w:val="auto"/>
        </w:rPr>
        <w:t>Co-Managers</w:t>
      </w:r>
    </w:p>
    <w:p>
      <w:pPr>
        <w:spacing w:after="0" w:line="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BNY Capital Markets</w:t>
      </w:r>
    </w:p>
    <w:p>
      <w:pPr>
        <w:spacing w:after="0" w:line="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ING</w:t>
      </w:r>
    </w:p>
    <w:p>
      <w:pPr>
        <w:spacing w:after="0" w:line="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Santander</w:t>
      </w:r>
    </w:p>
    <w:p>
      <w:pPr>
        <w:spacing w:after="0" w:line="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SMBC Nikko</w:t>
      </w:r>
    </w:p>
    <w:p>
      <w:pPr>
        <w:spacing w:after="0" w:line="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Standard Chartered Bank</w:t>
      </w:r>
    </w:p>
    <w:p>
      <w:pPr>
        <w:spacing w:after="0" w:line="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169545</wp:posOffset>
            </wp:positionV>
            <wp:extent cx="110871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i w:val="1"/>
          <w:iCs w:val="1"/>
          <w:color w:val="auto"/>
        </w:rPr>
        <w:t>Co-Syndicate Managers</w:t>
      </w:r>
    </w:p>
    <w:p>
      <w:pPr>
        <w:spacing w:after="0" w:line="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C.L. King &amp; Associates</w:t>
      </w:r>
    </w:p>
    <w:p>
      <w:pPr>
        <w:spacing w:after="0" w:line="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R. Seelaus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128905</wp:posOffset>
            </wp:positionV>
            <wp:extent cx="529145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173990</wp:posOffset>
            </wp:positionV>
            <wp:extent cx="529145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5291455" cy="12700"/>
                    </a:xfrm>
                    <a:prstGeom prst="rect">
                      <a:avLst/>
                    </a:prstGeom>
                    <a:noFill/>
                  </pic:spPr>
                </pic:pic>
              </a:graphicData>
            </a:graphic>
          </wp:anchor>
        </w:drawing>
      </w:r>
    </w:p>
    <w:p>
      <w:pPr>
        <w:sectPr>
          <w:pgSz w:w="11900" w:h="16838" w:orient="portrait"/>
          <w:cols w:equalWidth="0" w:num="1">
            <w:col w:w="10159"/>
          </w:cols>
          <w:pgMar w:left="300" w:top="378" w:right="1440" w:bottom="1440" w:gutter="0" w:footer="0" w:header="0"/>
        </w:sectPr>
      </w:pPr>
    </w:p>
    <w:bookmarkStart w:id="81" w:name="page82"/>
    <w:bookmarkEnd w:id="81"/>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Dell International L.L.C.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5"/>
                <w:szCs w:val="15"/>
                <w:color w:val="auto"/>
              </w:rPr>
            </w:pPr>
          </w:p>
        </w:tc>
        <w:tc>
          <w:tcPr>
            <w:tcW w:w="1080" w:type="dxa"/>
            <w:vAlign w:val="bottom"/>
            <w:shd w:val="clear" w:color="auto" w:fill="9ADAF6"/>
          </w:tcPr>
          <w:p>
            <w:pPr>
              <w:jc w:val="right"/>
              <w:ind w:right="15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680" w:type="dxa"/>
            <w:vAlign w:val="bottom"/>
            <w:shd w:val="clear" w:color="auto" w:fill="9ADAF6"/>
          </w:tcPr>
          <w:p>
            <w:pPr>
              <w:ind w:left="120"/>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5"/>
                <w:szCs w:val="15"/>
                <w:color w:val="auto"/>
              </w:rPr>
            </w:pPr>
          </w:p>
        </w:tc>
        <w:tc>
          <w:tcPr>
            <w:tcW w:w="1080" w:type="dxa"/>
            <w:vAlign w:val="bottom"/>
            <w:shd w:val="clear" w:color="auto" w:fill="9ADAF6"/>
          </w:tcPr>
          <w:p>
            <w:pPr>
              <w:jc w:val="right"/>
              <w:ind w:right="38"/>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7"/>
                <w:szCs w:val="17"/>
                <w:color w:val="auto"/>
              </w:rPr>
            </w:pPr>
          </w:p>
        </w:tc>
        <w:tc>
          <w:tcPr>
            <w:tcW w:w="10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4.750%</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$ 995,630,000.00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$ 137,496.50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5.000%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750,000,000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$ 745,530,000.00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$ 102,957.69</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2034</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5.250%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1,250,000,000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$ 171,345.85</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1,240,737,500.00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Due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2037</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Offering Amounts:</w:t>
            </w:r>
          </w:p>
        </w:tc>
        <w:tc>
          <w:tcPr>
            <w:tcW w:w="7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$ 411,800.04</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2,981,897,500.00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Fees Previously Paid: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 Offsets: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Net Fee Due:</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$ 411,800.04</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2" w:lineRule="exact"/>
        <w:rPr>
          <w:sz w:val="20"/>
          <w:szCs w:val="20"/>
          <w:color w:val="auto"/>
        </w:rPr>
      </w:pPr>
    </w:p>
    <w:p>
      <w:pPr>
        <w:ind w:left="200" w:right="140" w:hanging="168"/>
        <w:spacing w:after="0" w:line="235" w:lineRule="auto"/>
        <w:tabs>
          <w:tab w:leader="none" w:pos="200" w:val="left"/>
        </w:tabs>
        <w:numPr>
          <w:ilvl w:val="0"/>
          <w:numId w:val="54"/>
        </w:numPr>
        <w:rPr>
          <w:rFonts w:ascii="Arial" w:cs="Arial" w:eastAsia="Arial" w:hAnsi="Arial"/>
          <w:sz w:val="20"/>
          <w:szCs w:val="20"/>
          <w:color w:val="auto"/>
          <w:vertAlign w:val="superscript"/>
        </w:rPr>
      </w:pPr>
      <w:r>
        <w:rPr>
          <w:rFonts w:ascii="Arial" w:cs="Arial" w:eastAsia="Arial" w:hAnsi="Arial"/>
          <w:sz w:val="16"/>
          <w:szCs w:val="16"/>
          <w:color w:val="auto"/>
        </w:rPr>
        <w:t>Calculated in accordance with Rule 457(r) under the Securities Act of 1933, as amended (the "Securities Act"). Payment of the registration fee at the time of filing of the registrant's registration statement on Form S-3 (File No. 333-296691) filed with the Securities and Exchange Commission on June 11, 2026 was deferred pursuant to Rules 456(b) and 457(r) of the Securities Act, and is paid herewith. This filing fee table shall be deemed to update the "Calculation of Filing Fee" table in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15200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15" w:lineRule="exact"/>
        <w:rPr>
          <w:sz w:val="20"/>
          <w:szCs w:val="20"/>
          <w:color w:val="auto"/>
        </w:rPr>
      </w:pPr>
    </w:p>
    <w:p>
      <w:pPr>
        <w:ind w:left="200" w:right="260" w:hanging="168"/>
        <w:spacing w:after="0" w:line="235" w:lineRule="auto"/>
        <w:tabs>
          <w:tab w:leader="none" w:pos="200" w:val="left"/>
        </w:tabs>
        <w:numPr>
          <w:ilvl w:val="0"/>
          <w:numId w:val="55"/>
        </w:numPr>
        <w:rPr>
          <w:rFonts w:ascii="Arial" w:cs="Arial" w:eastAsia="Arial" w:hAnsi="Arial"/>
          <w:sz w:val="20"/>
          <w:szCs w:val="20"/>
          <w:color w:val="auto"/>
          <w:vertAlign w:val="superscript"/>
        </w:rPr>
      </w:pPr>
      <w:r>
        <w:rPr>
          <w:rFonts w:ascii="Arial" w:cs="Arial" w:eastAsia="Arial" w:hAnsi="Arial"/>
          <w:sz w:val="16"/>
          <w:szCs w:val="16"/>
          <w:color w:val="auto"/>
        </w:rPr>
        <w:t>Calculated in accordance with Rule 457(r) under the Securities Act. Payment of the registration fee at the time of filing of the registrant's registration statement on Form S-3 (File No. 333-296691) filed with the Securities and Exchange Commission on June 11, 2026 was deferred pursuant to Rules 456(b) and 457(r) of the Securities Act, and is paid herewith. This filing fee table shall be deemed to update the "Calculation of Filing Fee" table in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15200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15" w:lineRule="exact"/>
        <w:rPr>
          <w:sz w:val="20"/>
          <w:szCs w:val="20"/>
          <w:color w:val="auto"/>
        </w:rPr>
      </w:pPr>
    </w:p>
    <w:p>
      <w:pPr>
        <w:ind w:left="200" w:right="260" w:hanging="168"/>
        <w:spacing w:after="0" w:line="235" w:lineRule="auto"/>
        <w:tabs>
          <w:tab w:leader="none" w:pos="200" w:val="left"/>
        </w:tabs>
        <w:numPr>
          <w:ilvl w:val="0"/>
          <w:numId w:val="56"/>
        </w:numPr>
        <w:rPr>
          <w:rFonts w:ascii="Arial" w:cs="Arial" w:eastAsia="Arial" w:hAnsi="Arial"/>
          <w:sz w:val="20"/>
          <w:szCs w:val="20"/>
          <w:color w:val="auto"/>
          <w:vertAlign w:val="superscript"/>
        </w:rPr>
      </w:pPr>
      <w:r>
        <w:rPr>
          <w:rFonts w:ascii="Arial" w:cs="Arial" w:eastAsia="Arial" w:hAnsi="Arial"/>
          <w:sz w:val="16"/>
          <w:szCs w:val="16"/>
          <w:color w:val="auto"/>
        </w:rPr>
        <w:t>Calculated in accordance with Rule 457(r) under the Securities Act. Payment of the registration fee at the time of filing of the registrant's registration statement on Form S-3 (File No. 333-296691) filed with the Securities and Exchange Commission on June 11, 2026 was deferred pursuant to Rules 456(b) and 457(r) of the Securities Act, and is paid herewith. This filing fee table shall be deemed to update the "Calculation of Filing Fee" table in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15200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10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-969010</wp:posOffset>
            </wp:positionV>
            <wp:extent cx="12700" cy="22180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12700" cy="22180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-969010</wp:posOffset>
            </wp:positionV>
            <wp:extent cx="12700" cy="22180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12700" cy="221805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3905" cy="2463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13905" cy="2463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3905" cy="2463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13905" cy="2463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 457(p)</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3905" cy="2463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13905" cy="2463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3905" cy="172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13905" cy="172720"/>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82" w:name="page83"/>
    <w:bookmarkEnd w:id="82"/>
    <w:p>
      <w:pPr>
        <w:ind w:left="40"/>
        <w:spacing w:after="0"/>
        <w:rPr>
          <w:sz w:val="20"/>
          <w:szCs w:val="20"/>
          <w:color w:val="auto"/>
        </w:rPr>
      </w:pPr>
      <w:r>
        <w:rPr>
          <w:rFonts w:ascii="Arial" w:cs="Arial" w:eastAsia="Arial" w:hAnsi="Arial"/>
          <w:sz w:val="16"/>
          <w:szCs w:val="16"/>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7169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71690" cy="146050"/>
                    </a:xfrm>
                    <a:prstGeom prst="rect">
                      <a:avLst/>
                    </a:prstGeom>
                    <a:noFill/>
                  </pic:spPr>
                </pic:pic>
              </a:graphicData>
            </a:graphic>
          </wp:anchor>
        </w:drawing>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3: Combined Prospectuses</w:t>
            </w:r>
          </w:p>
        </w:tc>
        <w:tc>
          <w:tcPr>
            <w:tcW w:w="2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ind w:left="7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2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Narrative Disclosure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maximum aggregate offering price of the securities to which the prospectus relates is $2,981,897,500.00. The prospectus is a final prospectus for the</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Roman"/>
      <w:start w:val="2"/>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2"/>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7"/>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3"/>
    </w:lvl>
  </w:abstractNum>
  <w:abstractNum w:abstractNumId="21">
    <w:nsid w:val="5E884ADC"/>
    <w:multiLevelType w:val="hybridMultilevel"/>
    <w:lvl w:ilvl="0">
      <w:lvlJc w:val="left"/>
      <w:lvlText w:val="(%1)"/>
      <w:numFmt w:val="decimal"/>
      <w:start w:val="2"/>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6"/>
    </w:lvl>
  </w:abstractNum>
  <w:abstractNum w:abstractNumId="24">
    <w:nsid w:val="580BD78F"/>
    <w:multiLevelType w:val="hybridMultilevel"/>
    <w:lvl w:ilvl="0">
      <w:lvlJc w:val="left"/>
      <w:lvlText w:val="(%1)"/>
      <w:numFmt w:val="lowerLetter"/>
      <w:start w:val="3"/>
    </w:lvl>
  </w:abstractNum>
  <w:abstractNum w:abstractNumId="25">
    <w:nsid w:val="153EA438"/>
    <w:multiLevelType w:val="hybridMultilevel"/>
    <w:lvl w:ilvl="0">
      <w:lvlJc w:val="left"/>
      <w:lvlText w:val="(%1)"/>
      <w:numFmt w:val="decimal"/>
      <w:start w:val="1"/>
    </w:lvl>
    <w:lvl w:ilvl="1">
      <w:lvlJc w:val="left"/>
      <w:lvlText w:val="(%2)"/>
      <w:numFmt w:val="lowerLetter"/>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lowerLetter"/>
      <w:start w:val="2"/>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lowerRoman"/>
      <w:start w:val="2"/>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lvl w:ilvl="1">
      <w:lvlJc w:val="left"/>
      <w:lvlText w:val="(%2)"/>
      <w:numFmt w:val="lowerLetter"/>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lowerLetter"/>
      <w:start w:val="3"/>
    </w:lvl>
  </w:abstractNum>
  <w:abstractNum w:abstractNumId="53">
    <w:nsid w:val="23F9C13C"/>
    <w:multiLevelType w:val="hybridMultilevel"/>
    <w:lvl w:ilvl="0">
      <w:lvlJc w:val="left"/>
      <w:lvlText w:val="1"/>
      <w:numFmt w:val="bullet"/>
      <w:start w:val="1"/>
    </w:lvl>
  </w:abstractNum>
  <w:abstractNum w:abstractNumId="54">
    <w:nsid w:val="649BB77C"/>
    <w:multiLevelType w:val="hybridMultilevel"/>
    <w:lvl w:ilvl="0">
      <w:lvlJc w:val="left"/>
      <w:lvlText w:val="2"/>
      <w:numFmt w:val="bullet"/>
      <w:start w:val="1"/>
    </w:lvl>
  </w:abstractNum>
  <w:abstractNum w:abstractNumId="55">
    <w:nsid w:val="275AC794"/>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jpe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jpe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8" Type="http://schemas.openxmlformats.org/officeDocument/2006/relationships/hyperlink" Target="http://www.sec.gov/ix?doc=/Archives/edgar/data/0001571996/000157199626000008/dell-20260130.htm" TargetMode="External"/><Relationship Id="rId19" Type="http://schemas.openxmlformats.org/officeDocument/2006/relationships/hyperlink" Target="http://www.sec.gov/ix?doc=/Archives/edgar/data/0001571996/000157199626000030/dell-20260501.htm" TargetMode="External"/><Relationship Id="rId20" Type="http://schemas.openxmlformats.org/officeDocument/2006/relationships/hyperlink" Target="http://www.sec.gov/ix?doc=/Archives/edgar/data/1571996/000119312526226734/d132444ddef14a.htm" TargetMode="External"/><Relationship Id="rId21" Type="http://schemas.openxmlformats.org/officeDocument/2006/relationships/hyperlink" Target="http://www.sec.gov/ix?doc=/Archives/edgar/data/0001571996/000157199626000013/dell-20260415.htm" TargetMode="External"/><Relationship Id="rId22" Type="http://schemas.openxmlformats.org/officeDocument/2006/relationships/hyperlink" Target="http://www.sec.gov/ix?doc=/Archives/edgar/data/0001571996/000119312526265877/d98058d8k.htm" TargetMode="External"/><Relationship Id="rId87" Type="http://schemas.openxmlformats.org/officeDocument/2006/relationships/hyperlink" Target="http://www.sec.gov/ix?doc=/Archives/edgar/data/1571996/000157199626000008/dell-20260130.htm" TargetMode="External"/><Relationship Id="rId88" Type="http://schemas.openxmlformats.org/officeDocument/2006/relationships/hyperlink" Target="http://www.sec.gov/ix?doc=/Archives/edgar/data/1571996/000157199626000030/dell-20260501.htm" TargetMode="External"/><Relationship Id="rId89" Type="http://schemas.openxmlformats.org/officeDocument/2006/relationships/hyperlink" Target="http://www.sec.gov/ix?doc=/Archives/edgar/data/1571996/000157199626000013/dell-20260415.htm" TargetMode="External"/><Relationship Id="rId90" Type="http://schemas.openxmlformats.org/officeDocument/2006/relationships/hyperlink" Target="http://www.sec.gov/ix?doc=/Archives/edgar/data/1571996/000119312526265877/d9805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2026-06-15T16:19:54Z</dcterms:created>
  <dcterms:modified xsi:type="dcterms:W3CDTF">2026-06-15T16:19:54Z</dcterms:modified>
</cp:coreProperties>
</file>