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59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V DE (AIV), L.P.</w:t>
              </w:r>
            </w:hyperlink>
          </w:p>
        </w:tc>
        <w:tc>
          <w:tcPr>
            <w:tcW w:w="27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320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06/10/2026</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42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22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jc w:val="center"/>
              <w:ind w:left="8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jc w:val="right"/>
              <w:ind w:right="163"/>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tcPr>
          <w:p>
            <w:pPr>
              <w:jc w:val="center"/>
              <w:ind w:left="90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1,460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391.03</w:t>
            </w:r>
            <w:r>
              <w:rPr>
                <w:rFonts w:ascii="Times New Roman" w:cs="Times New Roman" w:eastAsia="Times New Roman" w:hAnsi="Times New Roman"/>
                <w:sz w:val="22"/>
                <w:szCs w:val="22"/>
                <w:color w:val="008000"/>
                <w:w w:val="94"/>
                <w:vertAlign w:val="superscript"/>
              </w:rPr>
              <w:t>(10)</w:t>
            </w:r>
          </w:p>
        </w:tc>
        <w:tc>
          <w:tcPr>
            <w:tcW w:w="4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51,964</w:t>
            </w: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tcPr>
          <w:p>
            <w:pPr>
              <w:jc w:val="center"/>
              <w:ind w:left="90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1,799</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391.85</w:t>
            </w:r>
            <w:r>
              <w:rPr>
                <w:rFonts w:ascii="Times New Roman" w:cs="Times New Roman" w:eastAsia="Times New Roman" w:hAnsi="Times New Roman"/>
                <w:sz w:val="22"/>
                <w:szCs w:val="22"/>
                <w:color w:val="008000"/>
                <w:w w:val="94"/>
                <w:vertAlign w:val="superscript"/>
              </w:rPr>
              <w:t>(11)</w:t>
            </w:r>
          </w:p>
        </w:tc>
        <w:tc>
          <w:tcPr>
            <w:tcW w:w="4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50,166</w:t>
            </w: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tcPr>
          <w:p>
            <w:pPr>
              <w:jc w:val="center"/>
              <w:ind w:left="90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2,533</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393.15</w:t>
            </w:r>
            <w:r>
              <w:rPr>
                <w:rFonts w:ascii="Times New Roman" w:cs="Times New Roman" w:eastAsia="Times New Roman" w:hAnsi="Times New Roman"/>
                <w:sz w:val="22"/>
                <w:szCs w:val="22"/>
                <w:color w:val="008000"/>
                <w:w w:val="94"/>
                <w:vertAlign w:val="superscript"/>
              </w:rPr>
              <w:t>(12)</w:t>
            </w:r>
          </w:p>
        </w:tc>
        <w:tc>
          <w:tcPr>
            <w:tcW w:w="4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47,633</w:t>
            </w: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tcPr>
          <w:p>
            <w:pPr>
              <w:jc w:val="center"/>
              <w:ind w:left="90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4,402</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394.12</w:t>
            </w:r>
            <w:r>
              <w:rPr>
                <w:rFonts w:ascii="Times New Roman" w:cs="Times New Roman" w:eastAsia="Times New Roman" w:hAnsi="Times New Roman"/>
                <w:sz w:val="22"/>
                <w:szCs w:val="22"/>
                <w:color w:val="008000"/>
                <w:w w:val="94"/>
                <w:vertAlign w:val="superscript"/>
              </w:rPr>
              <w:t>(13)</w:t>
            </w:r>
          </w:p>
        </w:tc>
        <w:tc>
          <w:tcPr>
            <w:tcW w:w="4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43,231</w:t>
            </w: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tcPr>
          <w:p>
            <w:pPr>
              <w:jc w:val="center"/>
              <w:ind w:left="903"/>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4,297</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395</w:t>
            </w:r>
            <w:r>
              <w:rPr>
                <w:rFonts w:ascii="Times New Roman" w:cs="Times New Roman" w:eastAsia="Times New Roman" w:hAnsi="Times New Roman"/>
                <w:sz w:val="22"/>
                <w:szCs w:val="22"/>
                <w:color w:val="008000"/>
                <w:w w:val="90"/>
                <w:vertAlign w:val="superscript"/>
              </w:rPr>
              <w:t>(14)</w:t>
            </w:r>
          </w:p>
        </w:tc>
        <w:tc>
          <w:tcPr>
            <w:tcW w:w="4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38,933</w:t>
            </w: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596"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3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jc w:val="center"/>
              <w:ind w:left="4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left="2"/>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3,756</w:t>
            </w:r>
          </w:p>
        </w:tc>
        <w:tc>
          <w:tcPr>
            <w:tcW w:w="5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396.09</w:t>
            </w:r>
            <w:r>
              <w:rPr>
                <w:rFonts w:ascii="Times New Roman" w:cs="Times New Roman" w:eastAsia="Times New Roman" w:hAnsi="Times New Roman"/>
                <w:sz w:val="22"/>
                <w:szCs w:val="22"/>
                <w:color w:val="008000"/>
                <w:w w:val="99"/>
                <w:vertAlign w:val="superscript"/>
              </w:rPr>
              <w:t>(15)</w:t>
            </w:r>
          </w:p>
        </w:tc>
        <w:tc>
          <w:tcPr>
            <w:tcW w:w="104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35,177</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2,042</w:t>
            </w:r>
          </w:p>
        </w:tc>
        <w:tc>
          <w:tcPr>
            <w:tcW w:w="5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397.11</w:t>
            </w:r>
            <w:r>
              <w:rPr>
                <w:rFonts w:ascii="Times New Roman" w:cs="Times New Roman" w:eastAsia="Times New Roman" w:hAnsi="Times New Roman"/>
                <w:sz w:val="22"/>
                <w:szCs w:val="22"/>
                <w:color w:val="008000"/>
                <w:w w:val="99"/>
                <w:vertAlign w:val="superscript"/>
              </w:rPr>
              <w:t>(16)</w:t>
            </w:r>
          </w:p>
        </w:tc>
        <w:tc>
          <w:tcPr>
            <w:tcW w:w="104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33,135</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3,131</w:t>
            </w:r>
          </w:p>
        </w:tc>
        <w:tc>
          <w:tcPr>
            <w:tcW w:w="5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398.07</w:t>
            </w:r>
            <w:r>
              <w:rPr>
                <w:rFonts w:ascii="Times New Roman" w:cs="Times New Roman" w:eastAsia="Times New Roman" w:hAnsi="Times New Roman"/>
                <w:sz w:val="22"/>
                <w:szCs w:val="22"/>
                <w:color w:val="008000"/>
                <w:w w:val="99"/>
                <w:vertAlign w:val="superscript"/>
              </w:rPr>
              <w:t>(17)</w:t>
            </w:r>
          </w:p>
        </w:tc>
        <w:tc>
          <w:tcPr>
            <w:tcW w:w="104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30,004</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jc w:val="center"/>
              <w:ind w:left="445"/>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2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70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456</w:t>
            </w:r>
          </w:p>
        </w:tc>
        <w:tc>
          <w:tcPr>
            <w:tcW w:w="5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398.73</w:t>
            </w:r>
            <w:r>
              <w:rPr>
                <w:rFonts w:ascii="Times New Roman" w:cs="Times New Roman" w:eastAsia="Times New Roman" w:hAnsi="Times New Roman"/>
                <w:sz w:val="22"/>
                <w:szCs w:val="22"/>
                <w:color w:val="008000"/>
                <w:w w:val="99"/>
                <w:vertAlign w:val="superscript"/>
              </w:rPr>
              <w:t>(18)</w:t>
            </w:r>
          </w:p>
        </w:tc>
        <w:tc>
          <w:tcPr>
            <w:tcW w:w="104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29,548</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26"/>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9"/>
              </w:rPr>
              <w:t>9,359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107"/>
        </w:trPr>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91" w:right="359" w:bottom="0" w:gutter="0" w:footer="0" w:header="0"/>
        </w:sectPr>
      </w:pPr>
    </w:p>
    <w:p>
      <w:pPr>
        <w:ind w:left="10120"/>
        <w:spacing w:after="0" w:line="185" w:lineRule="auto"/>
        <w:rPr>
          <w:sz w:val="20"/>
          <w:szCs w:val="20"/>
          <w:color w:val="auto"/>
        </w:rPr>
      </w:pPr>
      <w:r>
        <w:rPr>
          <w:rFonts w:ascii="Times New Roman" w:cs="Times New Roman" w:eastAsia="Times New Roman" w:hAnsi="Times New Roman"/>
          <w:sz w:val="12"/>
          <w:szCs w:val="12"/>
          <w:color w:val="0000FF"/>
        </w:rPr>
        <w:t>Lake</w:t>
      </w:r>
    </w:p>
    <w:p>
      <w:pPr>
        <w:sectPr>
          <w:pgSz w:w="11900" w:h="16838" w:orient="portrait"/>
          <w:cols w:equalWidth="0" w:num="1">
            <w:col w:w="11080"/>
          </w:cols>
          <w:pgMar w:left="460" w:top="191" w:right="359" w:bottom="0" w:gutter="0" w:footer="0" w:header="0"/>
          <w:type w:val="continuous"/>
        </w:sectPr>
      </w:pPr>
    </w:p>
    <w:p>
      <w:pPr>
        <w:ind w:left="10120"/>
        <w:spacing w:after="0"/>
        <w:rPr>
          <w:sz w:val="20"/>
          <w:szCs w:val="20"/>
          <w:color w:val="auto"/>
        </w:rPr>
      </w:pPr>
      <w:r>
        <w:rPr>
          <w:rFonts w:ascii="Times New Roman" w:cs="Times New Roman" w:eastAsia="Times New Roman" w:hAnsi="Times New Roman"/>
          <w:sz w:val="17"/>
          <w:szCs w:val="17"/>
          <w:color w:val="0000FF"/>
        </w:rPr>
        <w:t>Group,</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9"/>
              </w:rPr>
              <w:t>4,845</w:t>
            </w:r>
          </w:p>
        </w:tc>
        <w:tc>
          <w:tcPr>
            <w:tcW w:w="56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164,214</w:t>
            </w:r>
          </w:p>
        </w:tc>
        <w:tc>
          <w:tcPr>
            <w:tcW w:w="560" w:type="dxa"/>
            <w:vAlign w:val="bottom"/>
            <w:tcBorders>
              <w:top w:val="single" w:sz="8" w:color="2C2C2C"/>
            </w:tcBorders>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1,317,963</w:t>
            </w:r>
          </w:p>
        </w:tc>
        <w:tc>
          <w:tcPr>
            <w:tcW w:w="560" w:type="dxa"/>
            <w:vAlign w:val="bottom"/>
            <w:tcBorders>
              <w:top w:val="single" w:sz="8" w:color="2C2C2C"/>
              <w:bottom w:val="single" w:sz="8" w:color="2C2C2C"/>
            </w:tcBorders>
          </w:tcPr>
          <w:p>
            <w:pPr>
              <w:jc w:val="center"/>
              <w:ind w:right="253"/>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(8)</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8"/>
              </w:rPr>
              <w:t>47,234</w:t>
            </w:r>
          </w:p>
        </w:tc>
        <w:tc>
          <w:tcPr>
            <w:tcW w:w="56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8"/>
              </w:rPr>
              <w:t>86,961</w:t>
            </w:r>
          </w:p>
        </w:tc>
        <w:tc>
          <w:tcPr>
            <w:tcW w:w="560" w:type="dxa"/>
            <w:vAlign w:val="bottom"/>
            <w:tcBorders>
              <w:top w:val="single" w:sz="8" w:color="2C2C2C"/>
            </w:tcBorders>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80" w:type="dxa"/>
            <w:vAlign w:val="bottom"/>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V DE (AIV),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SILVER LAKE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2775 SAND HILL ROAD, SUITE 100</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65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786511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Silver Lake Technology Associates V,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SLTA V (GP),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Silver Lake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28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Durban Egon</w:t>
              </w:r>
            </w:hyperlink>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w:t>
      </w:r>
    </w:p>
    <w:p>
      <w:pPr>
        <w:spacing w:after="0" w:line="11" w:lineRule="exact"/>
        <w:rPr>
          <w:rFonts w:ascii="Times New Roman" w:cs="Times New Roman" w:eastAsia="Times New Roman" w:hAnsi="Times New Roman"/>
          <w:sz w:val="13"/>
          <w:szCs w:val="13"/>
          <w:color w:val="008000"/>
        </w:rPr>
      </w:pPr>
    </w:p>
    <w:p>
      <w:pPr>
        <w:ind w:left="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21"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spacing w:after="0" w:line="7"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50"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5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$390.3900 to $391.3700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$391.4600 to $392.4000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$392.5600 to $393.5500 per share, inclusive. The Reporting Persons undertake to provide to the Issuer, any security holder of the Issuer, or the staff of the SEC, upon request, full information regarding the number of shares sold at each separate price within the range set</w:t>
      </w:r>
    </w:p>
    <w:p>
      <w:pPr>
        <w:sectPr>
          <w:pgSz w:w="11900" w:h="16936" w:orient="portrait"/>
          <w:cols w:equalWidth="0" w:num="1">
            <w:col w:w="10920"/>
          </w:cols>
          <w:pgMar w:left="480" w:top="260" w:right="49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8000"/>
        </w:rPr>
        <w:t>forth in this footnote.</w:t>
      </w:r>
    </w:p>
    <w:p>
      <w:pPr>
        <w:spacing w:after="0" w:line="50" w:lineRule="exact"/>
        <w:rPr>
          <w:sz w:val="20"/>
          <w:szCs w:val="20"/>
          <w:color w:val="auto"/>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$393.5800 to $394.5600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$394.5800 to $395.5700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$395.5800 to $396.5750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$396.6150 to $397.6000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$397.6100 to $398.6000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$398.6100 to $398.8300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2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49,369 shares of Class C Common Stock, Silver Lake Partners IV, L.P. directly holds 37,592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60"/>
          </w:cols>
          <w:pgMar w:left="500" w:top="127" w:right="539" w:bottom="144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8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Partners V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94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9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00" w:space="140"/>
            <w:col w:w="2120"/>
          </w:cols>
          <w:pgMar w:left="500" w:top="12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2026-06-12T17:00:41Z</dcterms:created>
  <dcterms:modified xsi:type="dcterms:W3CDTF">2026-06-12T17:00:41Z</dcterms:modified>
</cp:coreProperties>
</file>