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-603250</wp:posOffset>
            </wp:positionV>
            <wp:extent cx="57150" cy="616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640080</wp:posOffset>
            </wp:positionV>
            <wp:extent cx="6998335" cy="8829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829675"/>
                    </a:xfrm>
                    <a:prstGeom prst="rect">
                      <a:avLst/>
                    </a:prstGeom>
                    <a:noFill/>
                  </pic:spPr>
                </pic:pic>
              </a:graphicData>
            </a:graphic>
          </wp:anchor>
        </w:drawing>
      </w:r>
    </w:p>
    <w:p>
      <w:pPr>
        <w:spacing w:after="0" w:line="1021" w:lineRule="exact"/>
        <w:rPr>
          <w:sz w:val="24"/>
          <w:szCs w:val="24"/>
          <w:color w:val="auto"/>
        </w:rPr>
      </w:pPr>
    </w:p>
    <w:p>
      <w:pPr>
        <w:sectPr>
          <w:pgSz w:w="11900" w:h="16838" w:orient="portrait"/>
          <w:cols w:equalWidth="0" w:num="2">
            <w:col w:w="2300" w:space="380"/>
            <w:col w:w="8300"/>
          </w:cols>
          <w:pgMar w:left="460" w:top="214" w:right="459" w:bottom="301"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restart"/>
          </w:tcPr>
          <w:p>
            <w:pPr>
              <w:spacing w:after="0"/>
              <w:rPr>
                <w:rFonts w:ascii="Times New Roman" w:cs="Times New Roman" w:eastAsia="Times New Roman" w:hAnsi="Times New Roman"/>
                <w:sz w:val="20"/>
                <w:szCs w:val="20"/>
                <w:color w:val="0000EE"/>
                <w:w w:val="94"/>
              </w:rPr>
            </w:pPr>
            <w:hyperlink r:id="rId13">
              <w:r>
                <w:rPr>
                  <w:rFonts w:ascii="Times New Roman" w:cs="Times New Roman" w:eastAsia="Times New Roman" w:hAnsi="Times New Roman"/>
                  <w:sz w:val="20"/>
                  <w:szCs w:val="20"/>
                  <w:color w:val="0000EE"/>
                  <w:w w:val="94"/>
                </w:rPr>
                <w:t>SL SPV-2, L.P.</w:t>
              </w:r>
            </w:hyperlink>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gridSpan w:val="5"/>
          </w:tcPr>
          <w:p>
            <w:pPr>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Borders>
              <w:bottom w:val="single" w:sz="8" w:color="0000EE"/>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1760" w:type="dxa"/>
            <w:vAlign w:val="bottom"/>
            <w:gridSpan w:val="3"/>
            <w:vMerge w:val="restart"/>
          </w:tcPr>
          <w:p>
            <w:pPr>
              <w:ind w:left="6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760" w:type="dxa"/>
            <w:vAlign w:val="bottom"/>
            <w:gridSpan w:val="3"/>
            <w:vMerge w:val="restart"/>
          </w:tcPr>
          <w:p>
            <w:pPr>
              <w:ind w:left="6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20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540" w:type="dxa"/>
            <w:vAlign w:val="bottom"/>
            <w:vMerge w:val="restart"/>
          </w:tcPr>
          <w:p>
            <w:pPr>
              <w:ind w:left="4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760" w:type="dxa"/>
            <w:vAlign w:val="bottom"/>
            <w:gridSpan w:val="3"/>
            <w:vMerge w:val="restart"/>
          </w:tcPr>
          <w:p>
            <w:pPr>
              <w:ind w:left="6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20" w:type="dxa"/>
            <w:vAlign w:val="bottom"/>
            <w:gridSpan w:val="5"/>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40" w:type="dxa"/>
            <w:vAlign w:val="bottom"/>
          </w:tcPr>
          <w:p>
            <w:pPr>
              <w:spacing w:after="0"/>
              <w:rPr>
                <w:sz w:val="20"/>
                <w:szCs w:val="20"/>
                <w:color w:val="auto"/>
              </w:rPr>
            </w:pPr>
          </w:p>
        </w:tc>
        <w:tc>
          <w:tcPr>
            <w:tcW w:w="2080" w:type="dxa"/>
            <w:vAlign w:val="bottom"/>
            <w:gridSpan w:val="5"/>
          </w:tcPr>
          <w:p>
            <w:pPr>
              <w:ind w:left="840"/>
              <w:spacing w:after="0"/>
              <w:rPr>
                <w:sz w:val="20"/>
                <w:szCs w:val="20"/>
                <w:color w:val="auto"/>
              </w:rPr>
            </w:pPr>
            <w:r>
              <w:rPr>
                <w:rFonts w:ascii="Times New Roman" w:cs="Times New Roman" w:eastAsia="Times New Roman" w:hAnsi="Times New Roman"/>
                <w:sz w:val="16"/>
                <w:szCs w:val="16"/>
                <w:color w:val="0000FF"/>
              </w:rPr>
              <w:t>06/10/2026</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3"/>
          </w:tcPr>
          <w:p>
            <w:pPr>
              <w:spacing w:after="0"/>
              <w:rPr>
                <w:sz w:val="8"/>
                <w:szCs w:val="8"/>
                <w:color w:val="auto"/>
              </w:rPr>
            </w:pPr>
          </w:p>
        </w:tc>
        <w:tc>
          <w:tcPr>
            <w:tcW w:w="152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20" w:type="dxa"/>
            <w:vAlign w:val="bottom"/>
            <w:gridSpan w:val="6"/>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460" w:type="dxa"/>
            <w:vAlign w:val="bottom"/>
          </w:tcPr>
          <w:p>
            <w:pPr>
              <w:spacing w:after="0"/>
              <w:rPr>
                <w:sz w:val="2"/>
                <w:szCs w:val="2"/>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33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94025</w:t>
            </w: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200" w:type="dxa"/>
            <w:vAlign w:val="bottom"/>
          </w:tcPr>
          <w:p>
            <w:pPr>
              <w:ind w:left="20"/>
              <w:spacing w:after="0"/>
              <w:rPr>
                <w:sz w:val="20"/>
                <w:szCs w:val="20"/>
                <w:color w:val="auto"/>
              </w:rPr>
            </w:pPr>
            <w:r>
              <w:rPr>
                <w:rFonts w:ascii="Arial" w:cs="Arial" w:eastAsia="Arial" w:hAnsi="Arial"/>
                <w:sz w:val="12"/>
                <w:szCs w:val="12"/>
                <w:color w:val="auto"/>
              </w:rPr>
              <w:t>(State)</w:t>
            </w:r>
          </w:p>
        </w:tc>
        <w:tc>
          <w:tcPr>
            <w:tcW w:w="540" w:type="dxa"/>
            <w:vAlign w:val="bottom"/>
          </w:tcPr>
          <w:p>
            <w:pPr>
              <w:ind w:left="4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14"/>
          </w:tcPr>
          <w:p>
            <w:pPr>
              <w:jc w:val="right"/>
              <w:ind w:right="591"/>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4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21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880" w:type="dxa"/>
            <w:vAlign w:val="bottom"/>
          </w:tcPr>
          <w:p>
            <w:pPr>
              <w:spacing w:after="0"/>
              <w:rPr>
                <w:sz w:val="5"/>
                <w:szCs w:val="5"/>
                <w:color w:val="auto"/>
              </w:rPr>
            </w:pPr>
          </w:p>
        </w:tc>
        <w:tc>
          <w:tcPr>
            <w:tcW w:w="88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80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152,138</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152,138</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2,826</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371.39</w:t>
            </w:r>
            <w:r>
              <w:rPr>
                <w:rFonts w:ascii="Times New Roman" w:cs="Times New Roman" w:eastAsia="Times New Roman" w:hAnsi="Times New Roman"/>
                <w:sz w:val="20"/>
                <w:szCs w:val="20"/>
                <w:color w:val="008000"/>
                <w:w w:val="95"/>
                <w:vertAlign w:val="superscript"/>
              </w:rPr>
              <w:t>(10)</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149,312</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4,882</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372.5</w:t>
            </w:r>
            <w:r>
              <w:rPr>
                <w:rFonts w:ascii="Times New Roman" w:cs="Times New Roman" w:eastAsia="Times New Roman" w:hAnsi="Times New Roman"/>
                <w:sz w:val="20"/>
                <w:szCs w:val="20"/>
                <w:color w:val="008000"/>
                <w:w w:val="92"/>
                <w:vertAlign w:val="superscript"/>
              </w:rPr>
              <w:t>(11)</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144,430</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2,537</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373.38</w:t>
            </w:r>
            <w:r>
              <w:rPr>
                <w:rFonts w:ascii="Times New Roman" w:cs="Times New Roman" w:eastAsia="Times New Roman" w:hAnsi="Times New Roman"/>
                <w:sz w:val="20"/>
                <w:szCs w:val="20"/>
                <w:color w:val="008000"/>
                <w:w w:val="95"/>
                <w:vertAlign w:val="superscript"/>
              </w:rPr>
              <w:t>(12)</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141,893</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1,355</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374.26</w:t>
            </w:r>
            <w:r>
              <w:rPr>
                <w:rFonts w:ascii="Times New Roman" w:cs="Times New Roman" w:eastAsia="Times New Roman" w:hAnsi="Times New Roman"/>
                <w:sz w:val="20"/>
                <w:szCs w:val="20"/>
                <w:color w:val="008000"/>
                <w:w w:val="95"/>
                <w:vertAlign w:val="superscript"/>
              </w:rPr>
              <w:t>(13)</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140,538</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3,139</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375.51</w:t>
            </w:r>
            <w:r>
              <w:rPr>
                <w:rFonts w:ascii="Times New Roman" w:cs="Times New Roman" w:eastAsia="Times New Roman" w:hAnsi="Times New Roman"/>
                <w:sz w:val="20"/>
                <w:szCs w:val="20"/>
                <w:color w:val="008000"/>
                <w:w w:val="95"/>
                <w:vertAlign w:val="superscript"/>
              </w:rPr>
              <w:t>(14)</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137,399</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2,351</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376.56</w:t>
            </w:r>
            <w:r>
              <w:rPr>
                <w:rFonts w:ascii="Times New Roman" w:cs="Times New Roman" w:eastAsia="Times New Roman" w:hAnsi="Times New Roman"/>
                <w:sz w:val="20"/>
                <w:szCs w:val="20"/>
                <w:color w:val="008000"/>
                <w:w w:val="95"/>
                <w:vertAlign w:val="superscript"/>
              </w:rPr>
              <w:t>(15)</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135,047</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2,395</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377.63</w:t>
            </w:r>
            <w:r>
              <w:rPr>
                <w:rFonts w:ascii="Times New Roman" w:cs="Times New Roman" w:eastAsia="Times New Roman" w:hAnsi="Times New Roman"/>
                <w:sz w:val="20"/>
                <w:szCs w:val="20"/>
                <w:color w:val="008000"/>
                <w:w w:val="95"/>
                <w:vertAlign w:val="superscript"/>
              </w:rPr>
              <w:t>(16)</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132,652</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5,025</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378.81</w:t>
            </w:r>
            <w:r>
              <w:rPr>
                <w:rFonts w:ascii="Times New Roman" w:cs="Times New Roman" w:eastAsia="Times New Roman" w:hAnsi="Times New Roman"/>
                <w:sz w:val="20"/>
                <w:szCs w:val="20"/>
                <w:color w:val="008000"/>
                <w:w w:val="95"/>
                <w:vertAlign w:val="superscript"/>
              </w:rPr>
              <w:t>(17)</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127,628</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3,690</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379.46</w:t>
            </w:r>
            <w:r>
              <w:rPr>
                <w:rFonts w:ascii="Times New Roman" w:cs="Times New Roman" w:eastAsia="Times New Roman" w:hAnsi="Times New Roman"/>
                <w:sz w:val="20"/>
                <w:szCs w:val="20"/>
                <w:color w:val="008000"/>
                <w:w w:val="95"/>
                <w:vertAlign w:val="superscript"/>
              </w:rPr>
              <w:t>(18)</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123,938</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1200" w:type="dxa"/>
            <w:vAlign w:val="bottom"/>
            <w:tcBorders>
              <w:bottom w:val="single" w:sz="8" w:color="808080"/>
            </w:tcBorders>
          </w:tcPr>
          <w:p>
            <w:pPr>
              <w:spacing w:after="0"/>
              <w:rPr>
                <w:sz w:val="22"/>
                <w:szCs w:val="22"/>
                <w:color w:val="auto"/>
              </w:rPr>
            </w:pPr>
          </w:p>
        </w:tc>
        <w:tc>
          <w:tcPr>
            <w:tcW w:w="120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70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460" w:type="dxa"/>
            <w:vAlign w:val="bottom"/>
            <w:tcBorders>
              <w:bottom w:val="single" w:sz="8" w:color="808080"/>
            </w:tcBorders>
          </w:tcPr>
          <w:p>
            <w:pPr>
              <w:spacing w:after="0"/>
              <w:rPr>
                <w:sz w:val="22"/>
                <w:szCs w:val="22"/>
                <w:color w:val="auto"/>
              </w:rPr>
            </w:pPr>
          </w:p>
        </w:tc>
        <w:tc>
          <w:tcPr>
            <w:tcW w:w="40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88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ind w:left="8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4" w:right="459" w:bottom="301"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6998335" cy="10527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8335" cy="10527030"/>
                    </a:xfrm>
                    <a:prstGeom prst="rect">
                      <a:avLst/>
                    </a:prstGeom>
                    <a:noFill/>
                  </pic:spPr>
                </pic:pic>
              </a:graphicData>
            </a:graphic>
          </wp:anchor>
        </w:drawing>
        <w:t>Table I - Non-Derivative Securities Acquired, Disposed of, or Beneficially Owned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tcPr>
          <w:p>
            <w:pPr>
              <w:ind w:left="7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21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720" w:type="dxa"/>
            <w:vAlign w:val="bottom"/>
          </w:tcPr>
          <w:p>
            <w:pPr>
              <w:ind w:left="74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720" w:type="dxa"/>
            <w:vAlign w:val="bottom"/>
          </w:tcPr>
          <w:p>
            <w:pPr>
              <w:ind w:left="74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3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6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3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2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06/10/2026</w:t>
            </w:r>
          </w:p>
        </w:tc>
        <w:tc>
          <w:tcPr>
            <w:tcW w:w="11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2,146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380.5</w:t>
            </w:r>
            <w:r>
              <w:rPr>
                <w:rFonts w:ascii="Times New Roman" w:cs="Times New Roman" w:eastAsia="Times New Roman" w:hAnsi="Times New Roman"/>
                <w:sz w:val="20"/>
                <w:szCs w:val="20"/>
                <w:color w:val="008000"/>
                <w:w w:val="95"/>
                <w:vertAlign w:val="superscript"/>
              </w:rPr>
              <w:t>(19)</w:t>
            </w: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121,792</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06/10/2026</w:t>
            </w:r>
          </w:p>
        </w:tc>
        <w:tc>
          <w:tcPr>
            <w:tcW w:w="11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4,558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381.8</w:t>
            </w:r>
            <w:r>
              <w:rPr>
                <w:rFonts w:ascii="Times New Roman" w:cs="Times New Roman" w:eastAsia="Times New Roman" w:hAnsi="Times New Roman"/>
                <w:sz w:val="20"/>
                <w:szCs w:val="20"/>
                <w:color w:val="008000"/>
                <w:w w:val="95"/>
                <w:vertAlign w:val="superscript"/>
              </w:rPr>
              <w:t>(20)</w:t>
            </w: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117,234</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06/10/2026</w:t>
            </w:r>
          </w:p>
        </w:tc>
        <w:tc>
          <w:tcPr>
            <w:tcW w:w="11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3,649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382.82</w:t>
            </w:r>
            <w:r>
              <w:rPr>
                <w:rFonts w:ascii="Times New Roman" w:cs="Times New Roman" w:eastAsia="Times New Roman" w:hAnsi="Times New Roman"/>
                <w:sz w:val="20"/>
                <w:szCs w:val="20"/>
                <w:color w:val="008000"/>
                <w:w w:val="95"/>
                <w:vertAlign w:val="superscript"/>
              </w:rPr>
              <w:t>(21)</w:t>
            </w: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113,586</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06/10/2026</w:t>
            </w:r>
          </w:p>
        </w:tc>
        <w:tc>
          <w:tcPr>
            <w:tcW w:w="11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5,571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383.73</w:t>
            </w:r>
            <w:r>
              <w:rPr>
                <w:rFonts w:ascii="Times New Roman" w:cs="Times New Roman" w:eastAsia="Times New Roman" w:hAnsi="Times New Roman"/>
                <w:sz w:val="20"/>
                <w:szCs w:val="20"/>
                <w:color w:val="008000"/>
                <w:w w:val="95"/>
                <w:vertAlign w:val="superscript"/>
              </w:rPr>
              <w:t>(22)</w:t>
            </w: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108,014</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06/10/2026</w:t>
            </w:r>
          </w:p>
        </w:tc>
        <w:tc>
          <w:tcPr>
            <w:tcW w:w="11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6,703</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384.71</w:t>
            </w:r>
            <w:r>
              <w:rPr>
                <w:rFonts w:ascii="Times New Roman" w:cs="Times New Roman" w:eastAsia="Times New Roman" w:hAnsi="Times New Roman"/>
                <w:sz w:val="20"/>
                <w:szCs w:val="20"/>
                <w:color w:val="008000"/>
                <w:w w:val="95"/>
                <w:vertAlign w:val="superscript"/>
              </w:rPr>
              <w:t>(23)</w:t>
            </w: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101,311</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06/10/2026</w:t>
            </w:r>
          </w:p>
        </w:tc>
        <w:tc>
          <w:tcPr>
            <w:tcW w:w="11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5,597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385.57</w:t>
            </w:r>
            <w:r>
              <w:rPr>
                <w:rFonts w:ascii="Times New Roman" w:cs="Times New Roman" w:eastAsia="Times New Roman" w:hAnsi="Times New Roman"/>
                <w:sz w:val="20"/>
                <w:szCs w:val="20"/>
                <w:color w:val="008000"/>
                <w:w w:val="95"/>
                <w:vertAlign w:val="superscript"/>
              </w:rPr>
              <w:t>(24)</w:t>
            </w: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95,714</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06/10/2026</w:t>
            </w:r>
          </w:p>
        </w:tc>
        <w:tc>
          <w:tcPr>
            <w:tcW w:w="11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1,685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386.65</w:t>
            </w:r>
            <w:r>
              <w:rPr>
                <w:rFonts w:ascii="Times New Roman" w:cs="Times New Roman" w:eastAsia="Times New Roman" w:hAnsi="Times New Roman"/>
                <w:sz w:val="20"/>
                <w:szCs w:val="20"/>
                <w:color w:val="008000"/>
                <w:w w:val="95"/>
                <w:vertAlign w:val="superscript"/>
              </w:rPr>
              <w:t>(25)</w:t>
            </w: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94,028</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06/10/2026</w:t>
            </w:r>
          </w:p>
        </w:tc>
        <w:tc>
          <w:tcPr>
            <w:tcW w:w="11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224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387.35</w:t>
            </w:r>
            <w:r>
              <w:rPr>
                <w:rFonts w:ascii="Times New Roman" w:cs="Times New Roman" w:eastAsia="Times New Roman" w:hAnsi="Times New Roman"/>
                <w:sz w:val="20"/>
                <w:szCs w:val="20"/>
                <w:color w:val="008000"/>
                <w:w w:val="95"/>
                <w:vertAlign w:val="superscript"/>
              </w:rPr>
              <w:t>(26)</w:t>
            </w: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93,804</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06/10/2026</w:t>
            </w:r>
          </w:p>
        </w:tc>
        <w:tc>
          <w:tcPr>
            <w:tcW w:w="11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2,236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388.61</w:t>
            </w:r>
            <w:r>
              <w:rPr>
                <w:rFonts w:ascii="Times New Roman" w:cs="Times New Roman" w:eastAsia="Times New Roman" w:hAnsi="Times New Roman"/>
                <w:sz w:val="20"/>
                <w:szCs w:val="20"/>
                <w:color w:val="008000"/>
                <w:w w:val="95"/>
                <w:vertAlign w:val="superscript"/>
              </w:rPr>
              <w:t>(27)</w:t>
            </w: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91,568</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06/10/2026</w:t>
            </w:r>
          </w:p>
        </w:tc>
        <w:tc>
          <w:tcPr>
            <w:tcW w:w="11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1,515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390.02</w:t>
            </w:r>
            <w:r>
              <w:rPr>
                <w:rFonts w:ascii="Times New Roman" w:cs="Times New Roman" w:eastAsia="Times New Roman" w:hAnsi="Times New Roman"/>
                <w:sz w:val="20"/>
                <w:szCs w:val="20"/>
                <w:color w:val="008000"/>
                <w:w w:val="95"/>
                <w:vertAlign w:val="superscript"/>
              </w:rPr>
              <w:t>(28)</w:t>
            </w: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90,054</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9,359</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99"/>
        </w:trPr>
        <w:tc>
          <w:tcPr>
            <w:tcW w:w="240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8" w:right="359" w:bottom="0" w:gutter="0" w:footer="0" w:header="0"/>
        </w:sectPr>
      </w:pPr>
    </w:p>
    <w:p>
      <w:pPr>
        <w:ind w:left="10180"/>
        <w:spacing w:after="0" w:line="188" w:lineRule="auto"/>
        <w:rPr>
          <w:sz w:val="20"/>
          <w:szCs w:val="20"/>
          <w:color w:val="auto"/>
        </w:rPr>
      </w:pPr>
      <w:r>
        <w:rPr>
          <w:rFonts w:ascii="Times New Roman" w:cs="Times New Roman" w:eastAsia="Times New Roman" w:hAnsi="Times New Roman"/>
          <w:sz w:val="11"/>
          <w:szCs w:val="11"/>
          <w:color w:val="0000FF"/>
        </w:rPr>
        <w:t>Lake</w:t>
      </w:r>
    </w:p>
    <w:p>
      <w:pPr>
        <w:sectPr>
          <w:pgSz w:w="11900" w:h="16838" w:orient="portrait"/>
          <w:cols w:equalWidth="0" w:num="1">
            <w:col w:w="11080"/>
          </w:cols>
          <w:pgMar w:left="460" w:top="188" w:right="359" w:bottom="0" w:gutter="0" w:footer="0" w:header="0"/>
          <w:type w:val="continuous"/>
        </w:sectPr>
      </w:pPr>
    </w:p>
    <w:p>
      <w:pPr>
        <w:ind w:left="10180"/>
        <w:spacing w:after="0"/>
        <w:rPr>
          <w:sz w:val="20"/>
          <w:szCs w:val="20"/>
          <w:color w:val="auto"/>
        </w:rPr>
      </w:pPr>
      <w:r>
        <w:rPr>
          <w:rFonts w:ascii="Times New Roman" w:cs="Times New Roman" w:eastAsia="Times New Roman" w:hAnsi="Times New Roman"/>
          <w:sz w:val="16"/>
          <w:szCs w:val="16"/>
          <w:color w:val="0000FF"/>
        </w:rPr>
        <w:t>Group,</w:t>
      </w:r>
    </w:p>
    <w:p>
      <w:pPr>
        <w:spacing w:after="0" w:line="1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vMerge w:val="restart"/>
          </w:tcPr>
          <w:p>
            <w:pPr>
              <w:jc w:val="center"/>
              <w:ind w:right="264"/>
              <w:spacing w:after="0"/>
              <w:rPr>
                <w:sz w:val="20"/>
                <w:szCs w:val="20"/>
                <w:color w:val="auto"/>
              </w:rPr>
            </w:pPr>
            <w:r>
              <w:rPr>
                <w:rFonts w:ascii="Times New Roman" w:cs="Times New Roman" w:eastAsia="Times New Roman" w:hAnsi="Times New Roman"/>
                <w:sz w:val="16"/>
                <w:szCs w:val="16"/>
                <w:color w:val="0000FF"/>
                <w:w w:val="99"/>
              </w:rPr>
              <w:t>4,845</w:t>
            </w:r>
          </w:p>
        </w:tc>
        <w:tc>
          <w:tcPr>
            <w:tcW w:w="18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rPr>
              <w:t>I</w:t>
            </w:r>
          </w:p>
        </w:tc>
        <w:tc>
          <w:tcPr>
            <w:tcW w:w="138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2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gridSpan w:val="2"/>
            <w:vMerge w:val="restart"/>
          </w:tcPr>
          <w:p>
            <w:pPr>
              <w:jc w:val="center"/>
              <w:ind w:right="264"/>
              <w:spacing w:after="0"/>
              <w:rPr>
                <w:sz w:val="20"/>
                <w:szCs w:val="20"/>
                <w:color w:val="auto"/>
              </w:rPr>
            </w:pPr>
            <w:r>
              <w:rPr>
                <w:rFonts w:ascii="Times New Roman" w:cs="Times New Roman" w:eastAsia="Times New Roman" w:hAnsi="Times New Roman"/>
                <w:sz w:val="16"/>
                <w:szCs w:val="16"/>
                <w:color w:val="0000FF"/>
                <w:w w:val="99"/>
              </w:rPr>
              <w:t>164,214</w:t>
            </w:r>
          </w:p>
        </w:tc>
        <w:tc>
          <w:tcPr>
            <w:tcW w:w="18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rPr>
              <w:t>I</w:t>
            </w:r>
          </w:p>
        </w:tc>
        <w:tc>
          <w:tcPr>
            <w:tcW w:w="138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3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2"/>
          </w:tcPr>
          <w:p>
            <w:pPr>
              <w:jc w:val="center"/>
              <w:ind w:right="264"/>
              <w:spacing w:after="0"/>
              <w:rPr>
                <w:sz w:val="20"/>
                <w:szCs w:val="20"/>
                <w:color w:val="auto"/>
              </w:rPr>
            </w:pPr>
            <w:r>
              <w:rPr>
                <w:rFonts w:ascii="Times New Roman" w:cs="Times New Roman" w:eastAsia="Times New Roman" w:hAnsi="Times New Roman"/>
                <w:sz w:val="16"/>
                <w:szCs w:val="16"/>
                <w:color w:val="0000FF"/>
                <w:w w:val="99"/>
              </w:rPr>
              <w:t>1,317,963</w:t>
            </w:r>
          </w:p>
        </w:tc>
        <w:tc>
          <w:tcPr>
            <w:tcW w:w="820" w:type="dxa"/>
            <w:vAlign w:val="bottom"/>
            <w:tcBorders>
              <w:top w:val="single" w:sz="8" w:color="2C2C2C"/>
              <w:bottom w:val="single" w:sz="8" w:color="2C2C2C"/>
            </w:tcBorders>
            <w:gridSpan w:val="2"/>
          </w:tcPr>
          <w:p>
            <w:pPr>
              <w:jc w:val="center"/>
              <w:ind w:right="470"/>
              <w:spacing w:after="0" w:line="298"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gridSpan w:val="2"/>
            <w:vMerge w:val="restart"/>
          </w:tcPr>
          <w:p>
            <w:pPr>
              <w:jc w:val="center"/>
              <w:ind w:right="264"/>
              <w:spacing w:after="0"/>
              <w:rPr>
                <w:sz w:val="20"/>
                <w:szCs w:val="20"/>
                <w:color w:val="auto"/>
              </w:rPr>
            </w:pPr>
            <w:r>
              <w:rPr>
                <w:rFonts w:ascii="Times New Roman" w:cs="Times New Roman" w:eastAsia="Times New Roman" w:hAnsi="Times New Roman"/>
                <w:sz w:val="16"/>
                <w:szCs w:val="16"/>
                <w:color w:val="0000FF"/>
                <w:w w:val="99"/>
              </w:rPr>
              <w:t>47,234</w:t>
            </w:r>
          </w:p>
        </w:tc>
        <w:tc>
          <w:tcPr>
            <w:tcW w:w="18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rPr>
              <w:t>I</w:t>
            </w:r>
          </w:p>
        </w:tc>
        <w:tc>
          <w:tcPr>
            <w:tcW w:w="138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2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gridSpan w:val="2"/>
            <w:vMerge w:val="restart"/>
          </w:tcPr>
          <w:p>
            <w:pPr>
              <w:jc w:val="center"/>
              <w:ind w:right="264"/>
              <w:spacing w:after="0"/>
              <w:rPr>
                <w:sz w:val="20"/>
                <w:szCs w:val="20"/>
                <w:color w:val="auto"/>
              </w:rPr>
            </w:pPr>
            <w:r>
              <w:rPr>
                <w:rFonts w:ascii="Times New Roman" w:cs="Times New Roman" w:eastAsia="Times New Roman" w:hAnsi="Times New Roman"/>
                <w:sz w:val="16"/>
                <w:szCs w:val="16"/>
                <w:color w:val="0000FF"/>
                <w:w w:val="99"/>
              </w:rPr>
              <w:t>67,140</w:t>
            </w:r>
          </w:p>
        </w:tc>
        <w:tc>
          <w:tcPr>
            <w:tcW w:w="18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rPr>
              <w:t>I</w:t>
            </w:r>
          </w:p>
        </w:tc>
        <w:tc>
          <w:tcPr>
            <w:tcW w:w="138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3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8"/>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7"/>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1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8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-1280795</wp:posOffset>
            </wp:positionV>
            <wp:extent cx="28575" cy="151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510030"/>
                    </a:xfrm>
                    <a:prstGeom prst="rect">
                      <a:avLst/>
                    </a:prstGeom>
                    <a:noFill/>
                  </pic:spPr>
                </pic:pic>
              </a:graphicData>
            </a:graphic>
          </wp:anchor>
        </w:drawing>
      </w:r>
    </w:p>
    <w:p>
      <w:pPr>
        <w:sectPr>
          <w:pgSz w:w="11900" w:h="16838" w:orient="portrait"/>
          <w:cols w:equalWidth="0" w:num="1">
            <w:col w:w="11080"/>
          </w:cols>
          <w:pgMar w:left="460" w:top="188" w:right="359" w:bottom="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037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9135" cy="1037399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gridSpan w:val="3"/>
            <w:vMerge w:val="restart"/>
          </w:tcPr>
          <w:p>
            <w:pPr>
              <w:ind w:left="60"/>
              <w:spacing w:after="0" w:line="199"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78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5"/>
                <w:szCs w:val="5"/>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color w:val="0000FF"/>
              </w:rPr>
              <w:t>152,138</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through SL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4"/>
            <w:vMerge w:val="restart"/>
          </w:tcPr>
          <w:p>
            <w:pPr>
              <w:ind w:left="200"/>
              <w:spacing w:after="0" w:line="137" w:lineRule="exact"/>
              <w:rPr>
                <w:sz w:val="20"/>
                <w:szCs w:val="20"/>
                <w:color w:val="auto"/>
              </w:rPr>
            </w:pPr>
            <w:r>
              <w:rPr>
                <w:rFonts w:ascii="Times New Roman" w:cs="Times New Roman" w:eastAsia="Times New Roman" w:hAnsi="Times New Roman"/>
                <w:sz w:val="12"/>
                <w:szCs w:val="12"/>
                <w:color w:val="0000FF"/>
              </w:rPr>
              <w:t>06/10/2026</w:t>
            </w:r>
          </w:p>
        </w:tc>
        <w:tc>
          <w:tcPr>
            <w:tcW w:w="102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78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152,138</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6"/>
                <w:szCs w:val="6"/>
                <w:color w:val="auto"/>
              </w:rPr>
            </w:pPr>
          </w:p>
        </w:tc>
        <w:tc>
          <w:tcPr>
            <w:tcW w:w="660" w:type="dxa"/>
            <w:vAlign w:val="bottom"/>
            <w:vMerge w:val="restart"/>
          </w:tcPr>
          <w:p>
            <w:pPr>
              <w:ind w:left="2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17,161,930</w:t>
            </w:r>
          </w:p>
        </w:tc>
        <w:tc>
          <w:tcPr>
            <w:tcW w:w="70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SPV-2, L.P.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008000"/>
              </w:rPr>
              <w:t>(3)(4)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27,530,061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restart"/>
          </w:tcPr>
          <w:p>
            <w:pPr>
              <w:ind w:left="8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restart"/>
          </w:tcPr>
          <w:p>
            <w:pPr>
              <w:ind w:left="180"/>
              <w:spacing w:after="0" w:line="100" w:lineRule="exact"/>
              <w:rPr>
                <w:sz w:val="20"/>
                <w:szCs w:val="20"/>
                <w:color w:val="auto"/>
              </w:rPr>
            </w:pPr>
            <w:r>
              <w:rPr>
                <w:rFonts w:ascii="Times New Roman" w:cs="Times New Roman" w:eastAsia="Times New Roman" w:hAnsi="Times New Roman"/>
                <w:sz w:val="11"/>
                <w:szCs w:val="11"/>
                <w:color w:val="0000FF"/>
              </w:rPr>
              <w:t>27,530,061</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gridSpan w:val="2"/>
          </w:tcPr>
          <w:p>
            <w:pPr>
              <w:ind w:left="8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10"/>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SL SPV-2, L.P.</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tcPr>
          <w:p>
            <w:pPr>
              <w:ind w:left="42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spacing w:after="0" w:line="211"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SLTA SPV-2, L.P.</w:t>
              </w:r>
            </w:hyperlink>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tcPr>
          <w:p>
            <w:pPr>
              <w:ind w:left="42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spacing w:after="0" w:line="211"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SPV-2 (GP), L.L.C.</w:t>
              </w:r>
            </w:hyperlink>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tcPr>
          <w:p>
            <w:pPr>
              <w:ind w:left="42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spacing w:after="0" w:line="211"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tcPr>
          <w:p>
            <w:pPr>
              <w:ind w:left="42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spacing w:after="0" w:line="211"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Durban Egon</w:t>
              </w:r>
            </w:hyperlink>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tcPr>
          <w:p>
            <w:pPr>
              <w:ind w:left="42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ectPr>
          <w:pgSz w:w="11900" w:h="16838" w:orient="portrait"/>
          <w:cols w:equalWidth="0" w:num="1">
            <w:col w:w="11080"/>
          </w:cols>
          <w:pgMar w:left="460" w:top="188" w:right="359" w:bottom="0" w:gutter="0" w:footer="0" w:header="0"/>
        </w:sectPr>
      </w:pPr>
    </w:p>
    <w:bookmarkStart w:id="3" w:name="page4"/>
    <w:bookmarkEnd w:id="3"/>
    <w:p>
      <w:pPr>
        <w:spacing w:after="0" w:line="68" w:lineRule="exact"/>
        <w:rPr>
          <w:sz w:val="20"/>
          <w:szCs w:val="20"/>
          <w:color w:val="auto"/>
        </w:rPr>
      </w:pPr>
    </w:p>
    <w:p>
      <w:pPr>
        <w:ind w:left="4" w:right="100" w:hanging="4"/>
        <w:spacing w:after="0" w:line="276"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10, 2026.</w:t>
      </w:r>
    </w:p>
    <w:p>
      <w:pPr>
        <w:spacing w:after="0" w:line="5" w:lineRule="exact"/>
        <w:rPr>
          <w:rFonts w:ascii="Times New Roman" w:cs="Times New Roman" w:eastAsia="Times New Roman" w:hAnsi="Times New Roman"/>
          <w:sz w:val="12"/>
          <w:szCs w:val="12"/>
          <w:color w:val="008000"/>
        </w:rPr>
      </w:pPr>
    </w:p>
    <w:p>
      <w:pPr>
        <w:ind w:left="4" w:right="20" w:hanging="4"/>
        <w:spacing w:after="0" w:line="257"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10, 2026, certain of the Reporting Persons converted shares of Class B Common Stock into an equal number of shares of Class C Common Stock in connection with the sales described in footnote (1) above.</w:t>
      </w:r>
    </w:p>
    <w:p>
      <w:pPr>
        <w:spacing w:after="0" w:line="15"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SL SPV-2, L.P. The general partner of SL SPV-2, L.P. is SLTA SPV-2, L.P. and the general partner of SLTA SPV-2, L.P. is SLTA SPV-2 (GP), L.L.C.</w:t>
      </w:r>
    </w:p>
    <w:p>
      <w:pPr>
        <w:spacing w:after="0" w:line="48" w:lineRule="exact"/>
        <w:rPr>
          <w:rFonts w:ascii="Times New Roman" w:cs="Times New Roman" w:eastAsia="Times New Roman" w:hAnsi="Times New Roman"/>
          <w:sz w:val="12"/>
          <w:szCs w:val="12"/>
          <w:color w:val="008000"/>
        </w:rPr>
      </w:pPr>
    </w:p>
    <w:p>
      <w:pPr>
        <w:ind w:left="4" w:right="180" w:hanging="4"/>
        <w:spacing w:after="0" w:line="276"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SPV-2 (GP), L.L.C. Egon Durban, who serves as a director of the Issuer, also serves as a Co-CEO and Managing Member of SLG. Each of the Reporting Persons may be deemed a director by deputization of the Issuer.</w:t>
      </w:r>
    </w:p>
    <w:p>
      <w:pPr>
        <w:spacing w:after="0" w:line="5"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w:t>
      </w:r>
    </w:p>
    <w:p>
      <w:pPr>
        <w:spacing w:after="0" w:line="48"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w:t>
      </w:r>
    </w:p>
    <w:p>
      <w:pPr>
        <w:spacing w:after="0" w:line="48" w:lineRule="exact"/>
        <w:rPr>
          <w:rFonts w:ascii="Times New Roman" w:cs="Times New Roman" w:eastAsia="Times New Roman" w:hAnsi="Times New Roman"/>
          <w:sz w:val="12"/>
          <w:szCs w:val="12"/>
          <w:color w:val="008000"/>
        </w:rPr>
      </w:pPr>
    </w:p>
    <w:p>
      <w:pPr>
        <w:ind w:left="4" w:right="240" w:hanging="4"/>
        <w:spacing w:after="0" w:line="276"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5"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by Mr. Durban.</w:t>
      </w:r>
    </w:p>
    <w:p>
      <w:pPr>
        <w:spacing w:after="0" w:line="48"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w:t>
      </w:r>
    </w:p>
    <w:p>
      <w:pPr>
        <w:spacing w:after="0" w:line="48"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$370.9774 to $371.9640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8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$371.9900 to $372.9890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$372.9901 to $373.9740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$374.0051 to $374.9580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$375.0298 to $376.0138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$376.0441 to $377.0399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$377.0419 to $378.0300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$378.0700 to $379.0685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$379.0800 to $380.0500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$380.0955 to $381.0800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$381.1254 to $382.1001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$382.1400 to $383.1300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$383.2000 to $384.1900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$384.2000 to $385.1900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$385.2000 to $386.1900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$386.2200 to $387.1700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$387.3000 to $387.3800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$388.3100 to $389.0500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$389.3900 to $390.3800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40" w:hanging="4"/>
        <w:spacing w:after="0" w:line="257"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Silver Lake Partners IV, L.P. directly holds 37,592 shares of Class C Common Stock, Silver Lake Partners V DE (AIV), L.P. directly holds 29,548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5" w:lineRule="exact"/>
        <w:rPr>
          <w:rFonts w:ascii="Times New Roman" w:cs="Times New Roman" w:eastAsia="Times New Roman" w:hAnsi="Times New Roman"/>
          <w:sz w:val="12"/>
          <w:szCs w:val="12"/>
          <w:color w:val="008000"/>
        </w:rPr>
      </w:pPr>
    </w:p>
    <w:p>
      <w:pPr>
        <w:ind w:left="4" w:right="100" w:hanging="4"/>
        <w:spacing w:after="0" w:line="257"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Silver Lake Partners IV, L.P. directly holds 17,617,582 shares of Class B Common Stock, Silver Lake Partners V DE (AIV), L.P. directly holds 9,536,376 shares of Class B Common Stock, Silver Lake Technology Investors IV, L.P. directly holds 259,212 shares of Class B Common Stock and Silver Lake Technology Investors V, L.P. directly holds 116,891 shares of Class B Common Stock, which securities and transactions are reported on separate Form 4 filings.</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0"/>
          <w:szCs w:val="20"/>
          <w:color w:val="auto"/>
        </w:rPr>
      </w:pPr>
    </w:p>
    <w:p>
      <w:pPr>
        <w:ind w:left="4"/>
        <w:spacing w:after="0" w:line="250"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907" w:orient="portrait"/>
          <w:cols w:equalWidth="0" w:num="1">
            <w:col w:w="10884"/>
          </w:cols>
          <w:pgMar w:left="496" w:top="127" w:right="519" w:bottom="0" w:gutter="0" w:footer="0" w:header="0"/>
        </w:sectPr>
      </w:pPr>
    </w:p>
    <w:p>
      <w:pPr>
        <w:spacing w:after="0" w:line="4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503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5"/>
          <w:szCs w:val="15"/>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13138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13815"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SPV-2, L.P.,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5349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534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SL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6197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1976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503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5"/>
          <w:szCs w:val="15"/>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131381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13815"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4743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7434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503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2705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27051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5829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8293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521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05219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3073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0734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907" w:orient="portrait"/>
          <w:cols w:equalWidth="0" w:num="2">
            <w:col w:w="8624" w:space="140"/>
            <w:col w:w="2120"/>
          </w:cols>
          <w:pgMar w:left="496" w:top="127" w:right="519" w:bottom="0" w:gutter="0" w:footer="0" w:header="0"/>
          <w:type w:val="continuous"/>
        </w:sect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ectPr>
          <w:pgSz w:w="11900" w:h="16907" w:orient="portrait"/>
          <w:cols w:equalWidth="0" w:num="1">
            <w:col w:w="10884"/>
          </w:cols>
          <w:pgMar w:left="496" w:top="127" w:right="519" w:bottom="0" w:gutter="0" w:footer="0" w:header="0"/>
          <w:type w:val="continuous"/>
        </w:sectPr>
      </w:pPr>
    </w:p>
    <w:bookmarkStart w:id="4" w:name="page5"/>
    <w:bookmarkEnd w:id="4"/>
    <w:p>
      <w:pPr>
        <w:jc w:val="both"/>
        <w:ind w:left="4" w:right="2799" w:hanging="4"/>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13" Type="http://schemas.openxmlformats.org/officeDocument/2006/relationships/hyperlink" Target="http://www.sec.gov/cgi-bin/browse-edgar?action=getcompany&amp;CIK=0001767114" TargetMode="External"/><Relationship Id="rId14" Type="http://schemas.openxmlformats.org/officeDocument/2006/relationships/hyperlink" Target="http://www.sec.gov/cgi-bin/browse-edgar?action=getcompany&amp;CIK=0001571996" TargetMode="External"/><Relationship Id="rId18" Type="http://schemas.openxmlformats.org/officeDocument/2006/relationships/hyperlink" Target="http://www.sec.gov/cgi-bin/browse-edgar?action=getcompany&amp;CIK=0001767115" TargetMode="External"/><Relationship Id="rId19" Type="http://schemas.openxmlformats.org/officeDocument/2006/relationships/hyperlink" Target="http://www.sec.gov/cgi-bin/browse-edgar?action=getcompany&amp;CIK=0001767116"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2026-06-12T17:06:33Z</dcterms:created>
  <dcterms:modified xsi:type="dcterms:W3CDTF">2026-06-12T17:06:33Z</dcterms:modified>
</cp:coreProperties>
</file>