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21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SL SPV-2,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212"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80,065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129,434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1,247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370.4</w:t>
            </w:r>
            <w:r>
              <w:rPr>
                <w:rFonts w:ascii="Times New Roman" w:cs="Times New Roman" w:eastAsia="Times New Roman" w:hAnsi="Times New Roman"/>
                <w:sz w:val="20"/>
                <w:szCs w:val="20"/>
                <w:color w:val="008000"/>
                <w:w w:val="92"/>
                <w:vertAlign w:val="superscript"/>
              </w:rPr>
              <w:t>(10)</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128,187</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769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371.55</w:t>
            </w:r>
            <w:r>
              <w:rPr>
                <w:rFonts w:ascii="Times New Roman" w:cs="Times New Roman" w:eastAsia="Times New Roman" w:hAnsi="Times New Roman"/>
                <w:sz w:val="20"/>
                <w:szCs w:val="20"/>
                <w:color w:val="008000"/>
                <w:w w:val="93"/>
                <w:vertAlign w:val="superscript"/>
              </w:rPr>
              <w:t>(11)</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127,418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1,479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372.6</w:t>
            </w:r>
            <w:r>
              <w:rPr>
                <w:rFonts w:ascii="Times New Roman" w:cs="Times New Roman" w:eastAsia="Times New Roman" w:hAnsi="Times New Roman"/>
                <w:sz w:val="20"/>
                <w:szCs w:val="20"/>
                <w:color w:val="008000"/>
                <w:w w:val="92"/>
                <w:vertAlign w:val="superscript"/>
              </w:rPr>
              <w:t>(12)</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125,939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2,746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373.59</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123,193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3,851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374.68</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119,342</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2,208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375.6</w:t>
            </w:r>
            <w:r>
              <w:rPr>
                <w:rFonts w:ascii="Times New Roman" w:cs="Times New Roman" w:eastAsia="Times New Roman" w:hAnsi="Times New Roman"/>
                <w:sz w:val="20"/>
                <w:szCs w:val="20"/>
                <w:color w:val="008000"/>
                <w:w w:val="92"/>
                <w:vertAlign w:val="superscript"/>
              </w:rPr>
              <w:t>(15)</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117,134</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3,883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376.66</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113,250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4,775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377.76</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108,476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25"/>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7,009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378.66</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color w:val="0000FF"/>
              </w:rPr>
              <w:t>101,466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21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4,555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379.69</w:t>
            </w:r>
            <w:r>
              <w:rPr>
                <w:rFonts w:ascii="Times New Roman" w:cs="Times New Roman" w:eastAsia="Times New Roman" w:hAnsi="Times New Roman"/>
                <w:sz w:val="20"/>
                <w:szCs w:val="20"/>
                <w:color w:val="008000"/>
                <w:w w:val="93"/>
                <w:vertAlign w:val="superscript"/>
              </w:rPr>
              <w:t>(19)</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96,911</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3,251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380.6</w:t>
            </w:r>
            <w:r>
              <w:rPr>
                <w:rFonts w:ascii="Times New Roman" w:cs="Times New Roman" w:eastAsia="Times New Roman" w:hAnsi="Times New Roman"/>
                <w:sz w:val="20"/>
                <w:szCs w:val="20"/>
                <w:color w:val="008000"/>
                <w:w w:val="92"/>
                <w:vertAlign w:val="superscript"/>
              </w:rPr>
              <w:t>(20)</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93,660</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1,054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381.53</w:t>
            </w:r>
            <w:r>
              <w:rPr>
                <w:rFonts w:ascii="Times New Roman" w:cs="Times New Roman" w:eastAsia="Times New Roman" w:hAnsi="Times New Roman"/>
                <w:sz w:val="20"/>
                <w:szCs w:val="20"/>
                <w:color w:val="008000"/>
                <w:w w:val="93"/>
                <w:vertAlign w:val="superscript"/>
              </w:rPr>
              <w:t>(21)</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92,606</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958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382.83</w:t>
            </w:r>
            <w:r>
              <w:rPr>
                <w:rFonts w:ascii="Times New Roman" w:cs="Times New Roman" w:eastAsia="Times New Roman" w:hAnsi="Times New Roman"/>
                <w:sz w:val="20"/>
                <w:szCs w:val="20"/>
                <w:color w:val="008000"/>
                <w:w w:val="93"/>
                <w:vertAlign w:val="superscript"/>
              </w:rPr>
              <w:t>(22)</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91,648</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1,774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383.91</w:t>
            </w:r>
            <w:r>
              <w:rPr>
                <w:rFonts w:ascii="Times New Roman" w:cs="Times New Roman" w:eastAsia="Times New Roman" w:hAnsi="Times New Roman"/>
                <w:sz w:val="20"/>
                <w:szCs w:val="20"/>
                <w:color w:val="008000"/>
                <w:w w:val="93"/>
                <w:vertAlign w:val="superscript"/>
              </w:rPr>
              <w:t>(23)</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89,874</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3,524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384.78</w:t>
            </w:r>
            <w:r>
              <w:rPr>
                <w:rFonts w:ascii="Times New Roman" w:cs="Times New Roman" w:eastAsia="Times New Roman" w:hAnsi="Times New Roman"/>
                <w:sz w:val="20"/>
                <w:szCs w:val="20"/>
                <w:color w:val="008000"/>
                <w:w w:val="93"/>
                <w:vertAlign w:val="superscript"/>
              </w:rPr>
              <w:t>(24)</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86,351</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1,030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385.87</w:t>
            </w:r>
            <w:r>
              <w:rPr>
                <w:rFonts w:ascii="Times New Roman" w:cs="Times New Roman" w:eastAsia="Times New Roman" w:hAnsi="Times New Roman"/>
                <w:sz w:val="20"/>
                <w:szCs w:val="20"/>
                <w:color w:val="008000"/>
                <w:w w:val="93"/>
                <w:vertAlign w:val="superscript"/>
              </w:rPr>
              <w:t>(25)</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85,320</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2,477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386.77</w:t>
            </w:r>
            <w:r>
              <w:rPr>
                <w:rFonts w:ascii="Times New Roman" w:cs="Times New Roman" w:eastAsia="Times New Roman" w:hAnsi="Times New Roman"/>
                <w:sz w:val="20"/>
                <w:szCs w:val="20"/>
                <w:color w:val="008000"/>
                <w:w w:val="93"/>
                <w:vertAlign w:val="superscript"/>
              </w:rPr>
              <w:t>(26)</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82,843</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1,098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387.78</w:t>
            </w:r>
            <w:r>
              <w:rPr>
                <w:rFonts w:ascii="Times New Roman" w:cs="Times New Roman" w:eastAsia="Times New Roman" w:hAnsi="Times New Roman"/>
                <w:sz w:val="20"/>
                <w:szCs w:val="20"/>
                <w:color w:val="008000"/>
                <w:w w:val="93"/>
                <w:vertAlign w:val="superscript"/>
              </w:rPr>
              <w:t>(27)</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81,746</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1,906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388.94</w:t>
            </w:r>
            <w:r>
              <w:rPr>
                <w:rFonts w:ascii="Times New Roman" w:cs="Times New Roman" w:eastAsia="Times New Roman" w:hAnsi="Times New Roman"/>
                <w:sz w:val="20"/>
                <w:szCs w:val="20"/>
                <w:color w:val="008000"/>
                <w:w w:val="93"/>
                <w:vertAlign w:val="superscript"/>
              </w:rPr>
              <w:t>(28)</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79,840</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2,724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390.03</w:t>
            </w:r>
            <w:r>
              <w:rPr>
                <w:rFonts w:ascii="Times New Roman" w:cs="Times New Roman" w:eastAsia="Times New Roman" w:hAnsi="Times New Roman"/>
                <w:sz w:val="20"/>
                <w:szCs w:val="20"/>
                <w:color w:val="008000"/>
                <w:w w:val="93"/>
                <w:vertAlign w:val="superscript"/>
              </w:rPr>
              <w:t>(29)</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77,116</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0000FF"/>
              </w:rPr>
              <w:t>06/11/2026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1,775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390.92</w:t>
            </w:r>
            <w:r>
              <w:rPr>
                <w:rFonts w:ascii="Times New Roman" w:cs="Times New Roman" w:eastAsia="Times New Roman" w:hAnsi="Times New Roman"/>
                <w:sz w:val="20"/>
                <w:szCs w:val="20"/>
                <w:color w:val="008000"/>
                <w:w w:val="93"/>
                <w:vertAlign w:val="superscript"/>
              </w:rPr>
              <w:t>(30)</w:t>
            </w: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75,341</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SL SPV-2,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Held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through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9,359</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Silver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Lake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Group,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4,845</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2C2C2C"/>
            </w:tcBorders>
          </w:tcPr>
          <w:p>
            <w:pPr>
              <w:spacing w:after="0"/>
              <w:rPr>
                <w:sz w:val="13"/>
                <w:szCs w:val="13"/>
                <w:color w:val="auto"/>
              </w:rPr>
            </w:pPr>
          </w:p>
        </w:tc>
        <w:tc>
          <w:tcPr>
            <w:tcW w:w="22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164,214</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080" w:type="dxa"/>
            <w:vAlign w:val="bottom"/>
            <w:tcBorders>
              <w:top w:val="single" w:sz="8" w:color="2C2C2C"/>
              <w:bottom w:val="single" w:sz="8" w:color="2C2C2C"/>
            </w:tcBorders>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1,317,963</w:t>
            </w:r>
          </w:p>
        </w:tc>
        <w:tc>
          <w:tcPr>
            <w:tcW w:w="740" w:type="dxa"/>
            <w:vAlign w:val="bottom"/>
            <w:tcBorders>
              <w:top w:val="single" w:sz="8" w:color="2C2C2C"/>
              <w:bottom w:val="single" w:sz="8" w:color="2C2C2C"/>
            </w:tcBorders>
          </w:tcPr>
          <w:p>
            <w:pPr>
              <w:jc w:val="center"/>
              <w:ind w:left="2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9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47,234</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Borders>
              <w:bottom w:val="single" w:sz="8" w:color="2C2C2C"/>
            </w:tcBorders>
          </w:tcPr>
          <w:p>
            <w:pPr>
              <w:spacing w:after="0"/>
              <w:rPr>
                <w:sz w:val="13"/>
                <w:szCs w:val="13"/>
                <w:color w:val="auto"/>
              </w:rPr>
            </w:pPr>
          </w:p>
        </w:tc>
        <w:tc>
          <w:tcPr>
            <w:tcW w:w="22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99,670</w:t>
            </w: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tcPr>
          <w:p>
            <w:pPr>
              <w:spacing w:after="0"/>
              <w:rPr>
                <w:sz w:val="13"/>
                <w:szCs w:val="13"/>
                <w:color w:val="auto"/>
              </w:rPr>
            </w:pPr>
          </w:p>
        </w:tc>
        <w:tc>
          <w:tcPr>
            <w:tcW w:w="22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400" w:type="dxa"/>
            <w:vAlign w:val="bottom"/>
            <w:shd w:val="clear" w:color="auto" w:fill="808080"/>
          </w:tcPr>
          <w:p>
            <w:pPr>
              <w:spacing w:after="0" w:line="20" w:lineRule="exact"/>
              <w:rPr>
                <w:sz w:val="1"/>
                <w:szCs w:val="1"/>
                <w:color w:val="auto"/>
              </w:rPr>
            </w:pPr>
          </w:p>
        </w:tc>
        <w:tc>
          <w:tcPr>
            <w:tcW w:w="224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7015480</wp:posOffset>
            </wp:positionH>
            <wp:positionV relativeFrom="paragraph">
              <wp:posOffset>-19685</wp:posOffset>
            </wp:positionV>
            <wp:extent cx="20320" cy="28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320" cy="281940"/>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sectPr>
      </w:pPr>
    </w:p>
    <w:bookmarkStart w:id="2" w:name="page3"/>
    <w:bookmarkEnd w:id="2"/>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restart"/>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5"/>
                <w:szCs w:val="5"/>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80,065</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through SL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2"/>
                <w:szCs w:val="12"/>
                <w:color w:val="0000FF"/>
              </w:rPr>
              <w:t>06/11/2026</w:t>
            </w:r>
          </w:p>
        </w:tc>
        <w:tc>
          <w:tcPr>
            <w:tcW w:w="10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80,065</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17,081,865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SPV-2, L.P.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27,401,624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5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27,401,624</w:t>
            </w:r>
          </w:p>
        </w:tc>
        <w:tc>
          <w:tcPr>
            <w:tcW w:w="7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10"/>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 SPV-2, L.P.</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SPV-2, L.P.</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SPV-2 (GP),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4" w:orient="portrait"/>
          <w:cols w:equalWidth="0" w:num="1">
            <w:col w:w="11080"/>
          </w:cols>
          <w:pgMar w:left="460" w:top="189" w:right="359" w:bottom="0" w:gutter="0" w:footer="0" w:header="0"/>
        </w:sectPr>
      </w:pPr>
    </w:p>
    <w:p>
      <w:pPr>
        <w:spacing w:after="0" w:line="89"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74" w:orient="portrait"/>
          <w:cols w:equalWidth="0" w:num="1">
            <w:col w:w="11080"/>
          </w:cols>
          <w:pgMar w:left="460" w:top="189" w:right="359" w:bottom="0" w:gutter="0" w:footer="0" w:header="0"/>
          <w:type w:val="continuous"/>
        </w:sectPr>
      </w:pPr>
    </w:p>
    <w:bookmarkStart w:id="3" w:name="page4"/>
    <w:bookmarkEnd w:id="3"/>
    <w:p>
      <w:pPr>
        <w:ind w:left="3"/>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67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14320" cy="67945"/>
                    </a:xfrm>
                    <a:prstGeom prst="rect">
                      <a:avLst/>
                    </a:prstGeom>
                    <a:noFill/>
                  </pic:spPr>
                </pic:pic>
              </a:graphicData>
            </a:graphic>
          </wp:anchor>
        </w:drawing>
        <w:t>Explanation of Responses:</w:t>
      </w:r>
    </w:p>
    <w:p>
      <w:pPr>
        <w:spacing w:after="0" w:line="49" w:lineRule="exact"/>
        <w:rPr>
          <w:sz w:val="20"/>
          <w:szCs w:val="20"/>
          <w:color w:val="auto"/>
        </w:rPr>
      </w:pPr>
    </w:p>
    <w:p>
      <w:pPr>
        <w:ind w:left="3"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11, 2026.</w:t>
      </w:r>
    </w:p>
    <w:p>
      <w:pPr>
        <w:ind w:left="3" w:right="22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11,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 SPV-2, L.P. The general partner of SL SPV-2, L.P. is SLTA SPV-2, L.P. and the general partner of SLTA SPV-2, L.P. is SLTA SPV-2 (GP), L.L.C.</w:t>
      </w:r>
    </w:p>
    <w:p>
      <w:pPr>
        <w:spacing w:after="0" w:line="49" w:lineRule="exact"/>
        <w:rPr>
          <w:rFonts w:ascii="Times New Roman" w:cs="Times New Roman" w:eastAsia="Times New Roman" w:hAnsi="Times New Roman"/>
          <w:sz w:val="12"/>
          <w:szCs w:val="12"/>
          <w:color w:val="008000"/>
        </w:rPr>
      </w:pPr>
    </w:p>
    <w:p>
      <w:pPr>
        <w:ind w:left="3" w:right="8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3" w:right="14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$370.0200 to $370.9800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$371.0400 to $372.0100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$372.1500 to $373.1400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$373.1600 to $374.1000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$374.1694 to $375.1327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$375.1660 to $376.1511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$376.1600 to $377.1400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$377.1800 to $378.1700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$378.1800 to $379.1700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$379.1800 to $380.1700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$380.1800 to $381.1700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$381.2300 to $382.1900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$382.3202 to $383.2600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$383.3237 to $384.2997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$384.3500 to $385.2900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$385.3575 to $386.3472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$386.4424 to $387.2898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$387.4900 to $388.4719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$388.5200 to $389.5000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$389.5700 to $390.5687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2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$390.6224 to $391.0650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2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57,380 shares of Class C Common Stock, Silver Lake Partners V DE (AIV), L.P. directly holds 42,290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3"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17,535,391 shares of Class B Common Stock, Silver Lake Partners V DE (AIV), L.P. directly holds 9,491,885 shares of Class B Common Stock, Silver Lake Technology Investors IV, L.P. directly holds 258,003 shares of Class B Common Stock and Silver Lake Technology Investors V, L.P. directly holds 116,345 shares of Class B Common Stock, which securities and transactions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2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43"/>
          </w:cols>
          <w:pgMar w:left="497" w:top="252" w:right="559" w:bottom="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-4445</wp:posOffset>
            </wp:positionV>
            <wp:extent cx="13208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604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6229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229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-4445</wp:posOffset>
            </wp:positionV>
            <wp:extent cx="13208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4768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68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ectPr>
          <w:pgSz w:w="11900" w:h="16838" w:orient="portrait"/>
          <w:cols w:equalWidth="0" w:num="2">
            <w:col w:w="8643" w:space="120"/>
            <w:col w:w="2080"/>
          </w:cols>
          <w:pgMar w:left="497" w:top="252" w:right="559" w:bottom="0" w:gutter="0" w:footer="0" w:header="0"/>
          <w:type w:val="continuous"/>
        </w:sectPr>
      </w:pPr>
    </w:p>
    <w:bookmarkStart w:id="4" w:name="page5"/>
    <w:bookmarkEnd w:id="4"/>
    <w:tbl>
      <w:tblPr>
        <w:tblLayout w:type="fixed"/>
        <w:tblInd w:w="6563" w:type="dxa"/>
        <w:tblCellMar>
          <w:top w:w="0" w:type="dxa"/>
          <w:left w:w="0" w:type="dxa"/>
          <w:bottom w:w="0" w:type="dxa"/>
          <w:right w:w="0" w:type="dxa"/>
        </w:tblCellMar>
      </w:tblPr>
      <w:tr>
        <w:trPr>
          <w:trHeight w:val="184"/>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By: /s/ Justin G. Hamill,</w:t>
            </w:r>
          </w:p>
        </w:tc>
        <w:tc>
          <w:tcPr>
            <w:tcW w:w="620" w:type="dxa"/>
            <w:vAlign w:val="bottom"/>
            <w:gridSpan w:val="2"/>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06/15/2026</w:t>
            </w:r>
          </w:p>
        </w:tc>
      </w:tr>
      <w:tr>
        <w:trPr>
          <w:trHeight w:val="180"/>
        </w:trPr>
        <w:tc>
          <w:tcPr>
            <w:tcW w:w="220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0000FF"/>
              </w:rPr>
              <w:t>Attorney-in-fact for Egon</w:t>
            </w:r>
          </w:p>
        </w:tc>
        <w:tc>
          <w:tcPr>
            <w:tcW w:w="740" w:type="dxa"/>
            <w:vAlign w:val="bottom"/>
          </w:tcPr>
          <w:p>
            <w:pPr>
              <w:spacing w:after="0"/>
              <w:rPr>
                <w:sz w:val="15"/>
                <w:szCs w:val="15"/>
                <w:color w:val="auto"/>
              </w:rPr>
            </w:pPr>
          </w:p>
        </w:tc>
      </w:tr>
      <w:tr>
        <w:trPr>
          <w:trHeight w:val="180"/>
        </w:trPr>
        <w:tc>
          <w:tcPr>
            <w:tcW w:w="1660" w:type="dxa"/>
            <w:vAlign w:val="bottom"/>
            <w:tcBorders>
              <w:top w:val="single" w:sz="8" w:color="auto"/>
            </w:tcBorders>
            <w:gridSpan w:val="3"/>
          </w:tcPr>
          <w:p>
            <w:pPr>
              <w:spacing w:after="0" w:line="180" w:lineRule="exact"/>
              <w:rPr>
                <w:sz w:val="20"/>
                <w:szCs w:val="20"/>
                <w:color w:val="auto"/>
              </w:rPr>
            </w:pPr>
            <w:r>
              <w:rPr>
                <w:rFonts w:ascii="Times New Roman" w:cs="Times New Roman" w:eastAsia="Times New Roman" w:hAnsi="Times New Roman"/>
                <w:sz w:val="16"/>
                <w:szCs w:val="16"/>
                <w:color w:val="0000FF"/>
              </w:rPr>
              <w:t>Durban</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0"/>
        </w:trPr>
        <w:tc>
          <w:tcPr>
            <w:tcW w:w="220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67115" TargetMode="External"/><Relationship Id="rId20" Type="http://schemas.openxmlformats.org/officeDocument/2006/relationships/hyperlink" Target="http://www.sec.gov/cgi-bin/browse-edgar?action=getcompany&amp;CIK=0001767116"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2026-06-15T16:45:25Z</dcterms:created>
  <dcterms:modified xsi:type="dcterms:W3CDTF">2026-06-15T16:45:25Z</dcterms:modified>
</cp:coreProperties>
</file>