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6998335" cy="8829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9675"/>
                    </a:xfrm>
                    <a:prstGeom prst="rect">
                      <a:avLst/>
                    </a:prstGeom>
                    <a:noFill/>
                  </pic:spPr>
                </pic:pic>
              </a:graphicData>
            </a:graphic>
          </wp:anchor>
        </w:drawing>
      </w:r>
    </w:p>
    <w:p>
      <w:pPr>
        <w:spacing w:after="0" w:line="1021" w:lineRule="exact"/>
        <w:rPr>
          <w:sz w:val="24"/>
          <w:szCs w:val="24"/>
          <w:color w:val="auto"/>
        </w:rPr>
      </w:pPr>
    </w:p>
    <w:p>
      <w:pPr>
        <w:sectPr>
          <w:pgSz w:w="11900" w:h="16838" w:orient="portrait"/>
          <w:cols w:equalWidth="0" w:num="2">
            <w:col w:w="2300" w:space="380"/>
            <w:col w:w="8300"/>
          </w:cols>
          <w:pgMar w:left="460" w:top="214" w:right="459" w:bottom="985"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4"/>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Silver Lake Partners V DE (AIV), L.P.</w:t>
              </w:r>
            </w:hyperlink>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5"/>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60" w:type="dxa"/>
            <w:vAlign w:val="bottom"/>
            <w:tcBorders>
              <w:bottom w:val="single" w:sz="8" w:color="0000EE"/>
            </w:tcBorders>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1740" w:type="dxa"/>
            <w:vAlign w:val="bottom"/>
            <w:gridSpan w:val="3"/>
            <w:vMerge w:val="restart"/>
          </w:tcPr>
          <w:p>
            <w:pPr>
              <w:ind w:left="6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1740" w:type="dxa"/>
            <w:vAlign w:val="bottom"/>
            <w:gridSpan w:val="3"/>
            <w:vMerge w:val="restart"/>
          </w:tcPr>
          <w:p>
            <w:pPr>
              <w:ind w:left="6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280" w:type="dxa"/>
            <w:vAlign w:val="bottom"/>
            <w:vMerge w:val="restart"/>
          </w:tcPr>
          <w:p>
            <w:pPr>
              <w:ind w:left="100"/>
              <w:spacing w:after="0"/>
              <w:rPr>
                <w:sz w:val="20"/>
                <w:szCs w:val="20"/>
                <w:color w:val="auto"/>
              </w:rPr>
            </w:pPr>
            <w:r>
              <w:rPr>
                <w:rFonts w:ascii="Arial" w:cs="Arial" w:eastAsia="Arial" w:hAnsi="Arial"/>
                <w:sz w:val="12"/>
                <w:szCs w:val="12"/>
                <w:color w:val="auto"/>
              </w:rPr>
              <w:t>(First)</w:t>
            </w:r>
          </w:p>
        </w:tc>
        <w:tc>
          <w:tcPr>
            <w:tcW w:w="560" w:type="dxa"/>
            <w:vAlign w:val="bottom"/>
            <w:vMerge w:val="restart"/>
          </w:tcPr>
          <w:p>
            <w:pPr>
              <w:ind w:left="4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980" w:type="dxa"/>
            <w:vAlign w:val="bottom"/>
            <w:vMerge w:val="restart"/>
          </w:tcPr>
          <w:p>
            <w:pPr>
              <w:ind w:left="600"/>
              <w:spacing w:after="0"/>
              <w:rPr>
                <w:sz w:val="20"/>
                <w:szCs w:val="20"/>
                <w:color w:val="auto"/>
              </w:rPr>
            </w:pPr>
            <w:r>
              <w:rPr>
                <w:rFonts w:ascii="Arial" w:cs="Arial" w:eastAsia="Arial" w:hAnsi="Arial"/>
                <w:sz w:val="12"/>
                <w:szCs w:val="12"/>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60" w:type="dxa"/>
            <w:vAlign w:val="bottom"/>
            <w:gridSpan w:val="5"/>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5"/>
          </w:tcPr>
          <w:p>
            <w:pPr>
              <w:ind w:left="720"/>
              <w:spacing w:after="0"/>
              <w:rPr>
                <w:sz w:val="20"/>
                <w:szCs w:val="20"/>
                <w:color w:val="auto"/>
              </w:rPr>
            </w:pPr>
            <w:r>
              <w:rPr>
                <w:rFonts w:ascii="Times New Roman" w:cs="Times New Roman" w:eastAsia="Times New Roman" w:hAnsi="Times New Roman"/>
                <w:sz w:val="16"/>
                <w:szCs w:val="16"/>
                <w:color w:val="0000FF"/>
              </w:rPr>
              <w:t>06/02/2026</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28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gridSpan w:val="6"/>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420" w:type="dxa"/>
            <w:vAlign w:val="bottom"/>
          </w:tcPr>
          <w:p>
            <w:pPr>
              <w:spacing w:after="0"/>
              <w:rPr>
                <w:sz w:val="2"/>
                <w:szCs w:val="2"/>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6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33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100"/>
              <w:spacing w:after="0"/>
              <w:rPr>
                <w:sz w:val="20"/>
                <w:szCs w:val="20"/>
                <w:color w:val="auto"/>
              </w:rPr>
            </w:pPr>
            <w:r>
              <w:rPr>
                <w:rFonts w:ascii="Arial" w:cs="Arial" w:eastAsia="Arial" w:hAnsi="Arial"/>
                <w:sz w:val="12"/>
                <w:szCs w:val="12"/>
                <w:color w:val="auto"/>
              </w:rPr>
              <w:t>(State)</w:t>
            </w:r>
          </w:p>
        </w:tc>
        <w:tc>
          <w:tcPr>
            <w:tcW w:w="560" w:type="dxa"/>
            <w:vAlign w:val="bottom"/>
          </w:tcPr>
          <w:p>
            <w:pPr>
              <w:ind w:left="4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000" w:type="dxa"/>
            <w:vAlign w:val="bottom"/>
            <w:tcBorders>
              <w:top w:val="single" w:sz="8" w:color="2C2C2C"/>
            </w:tcBorders>
            <w:gridSpan w:val="15"/>
          </w:tcPr>
          <w:p>
            <w:pPr>
              <w:ind w:left="11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60" w:type="dxa"/>
            <w:vAlign w:val="bottom"/>
          </w:tcPr>
          <w:p>
            <w:pPr>
              <w:spacing w:after="0"/>
              <w:rPr>
                <w:sz w:val="14"/>
                <w:szCs w:val="14"/>
                <w:color w:val="auto"/>
              </w:rPr>
            </w:pPr>
          </w:p>
        </w:tc>
        <w:tc>
          <w:tcPr>
            <w:tcW w:w="1060" w:type="dxa"/>
            <w:vAlign w:val="bottom"/>
            <w:gridSpan w:val="5"/>
          </w:tcPr>
          <w:p>
            <w:pPr>
              <w:ind w:left="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21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5"/>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 or Indirect</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80" w:type="dxa"/>
            <w:vAlign w:val="bottom"/>
          </w:tcPr>
          <w:p>
            <w:pPr>
              <w:spacing w:after="0"/>
              <w:rPr>
                <w:sz w:val="5"/>
                <w:szCs w:val="5"/>
                <w:color w:val="auto"/>
              </w:rPr>
            </w:pPr>
          </w:p>
        </w:tc>
        <w:tc>
          <w:tcPr>
            <w:tcW w:w="7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800" w:type="dxa"/>
            <w:vAlign w:val="bottom"/>
            <w:vMerge w:val="restart"/>
          </w:tcPr>
          <w:p>
            <w:pPr>
              <w:jc w:val="center"/>
              <w:ind w:left="9"/>
              <w:spacing w:after="0"/>
              <w:rPr>
                <w:sz w:val="20"/>
                <w:szCs w:val="20"/>
                <w:color w:val="auto"/>
              </w:rPr>
            </w:pPr>
            <w:r>
              <w:rPr>
                <w:rFonts w:ascii="Times New Roman" w:cs="Times New Roman" w:eastAsia="Times New Roman" w:hAnsi="Times New Roman"/>
                <w:sz w:val="16"/>
                <w:szCs w:val="16"/>
                <w:color w:val="0000FF"/>
                <w:w w:val="99"/>
              </w:rPr>
              <w:t>115,697</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162,289</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9"/>
              <w:spacing w:after="0"/>
              <w:rPr>
                <w:sz w:val="20"/>
                <w:szCs w:val="20"/>
                <w:color w:val="auto"/>
              </w:rPr>
            </w:pPr>
            <w:r>
              <w:rPr>
                <w:rFonts w:ascii="Times New Roman" w:cs="Times New Roman" w:eastAsia="Times New Roman" w:hAnsi="Times New Roman"/>
                <w:sz w:val="16"/>
                <w:szCs w:val="16"/>
                <w:color w:val="0000FF"/>
                <w:w w:val="99"/>
              </w:rPr>
              <w:t>7,613</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434.07</w:t>
            </w:r>
            <w:r>
              <w:rPr>
                <w:rFonts w:ascii="Times New Roman" w:cs="Times New Roman" w:eastAsia="Times New Roman" w:hAnsi="Times New Roman"/>
                <w:sz w:val="20"/>
                <w:szCs w:val="20"/>
                <w:color w:val="008000"/>
                <w:w w:val="93"/>
                <w:vertAlign w:val="superscript"/>
              </w:rPr>
              <w:t>(10)</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154,676</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9"/>
              <w:spacing w:after="0"/>
              <w:rPr>
                <w:sz w:val="20"/>
                <w:szCs w:val="20"/>
                <w:color w:val="auto"/>
              </w:rPr>
            </w:pPr>
            <w:r>
              <w:rPr>
                <w:rFonts w:ascii="Times New Roman" w:cs="Times New Roman" w:eastAsia="Times New Roman" w:hAnsi="Times New Roman"/>
                <w:sz w:val="16"/>
                <w:szCs w:val="16"/>
                <w:color w:val="0000FF"/>
                <w:w w:val="99"/>
              </w:rPr>
              <w:t>23,689</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435.24</w:t>
            </w:r>
            <w:r>
              <w:rPr>
                <w:rFonts w:ascii="Times New Roman" w:cs="Times New Roman" w:eastAsia="Times New Roman" w:hAnsi="Times New Roman"/>
                <w:sz w:val="20"/>
                <w:szCs w:val="20"/>
                <w:color w:val="008000"/>
                <w:w w:val="93"/>
                <w:vertAlign w:val="superscript"/>
              </w:rPr>
              <w:t>(11)</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130,988</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9"/>
              <w:spacing w:after="0"/>
              <w:rPr>
                <w:sz w:val="20"/>
                <w:szCs w:val="20"/>
                <w:color w:val="auto"/>
              </w:rPr>
            </w:pPr>
            <w:r>
              <w:rPr>
                <w:rFonts w:ascii="Times New Roman" w:cs="Times New Roman" w:eastAsia="Times New Roman" w:hAnsi="Times New Roman"/>
                <w:sz w:val="16"/>
                <w:szCs w:val="16"/>
                <w:color w:val="0000FF"/>
                <w:w w:val="99"/>
              </w:rPr>
              <w:t>5,530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436.14</w:t>
            </w:r>
            <w:r>
              <w:rPr>
                <w:rFonts w:ascii="Times New Roman" w:cs="Times New Roman" w:eastAsia="Times New Roman" w:hAnsi="Times New Roman"/>
                <w:sz w:val="20"/>
                <w:szCs w:val="20"/>
                <w:color w:val="008000"/>
                <w:w w:val="93"/>
                <w:vertAlign w:val="superscript"/>
              </w:rPr>
              <w:t>(12)</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125,457</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9"/>
              <w:spacing w:after="0"/>
              <w:rPr>
                <w:sz w:val="20"/>
                <w:szCs w:val="20"/>
                <w:color w:val="auto"/>
              </w:rPr>
            </w:pPr>
            <w:r>
              <w:rPr>
                <w:rFonts w:ascii="Times New Roman" w:cs="Times New Roman" w:eastAsia="Times New Roman" w:hAnsi="Times New Roman"/>
                <w:sz w:val="16"/>
                <w:szCs w:val="16"/>
                <w:color w:val="0000FF"/>
                <w:w w:val="99"/>
              </w:rPr>
              <w:t>4,446</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437.12</w:t>
            </w:r>
            <w:r>
              <w:rPr>
                <w:rFonts w:ascii="Times New Roman" w:cs="Times New Roman" w:eastAsia="Times New Roman" w:hAnsi="Times New Roman"/>
                <w:sz w:val="20"/>
                <w:szCs w:val="20"/>
                <w:color w:val="008000"/>
                <w:w w:val="93"/>
                <w:vertAlign w:val="superscript"/>
              </w:rPr>
              <w:t>(13)</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121,011</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40"/>
        <w:spacing w:after="0"/>
        <w:rPr>
          <w:sz w:val="20"/>
          <w:szCs w:val="20"/>
          <w:color w:val="auto"/>
        </w:rPr>
      </w:pPr>
      <w:r>
        <w:rPr>
          <w:rFonts w:ascii="Times New Roman" w:cs="Times New Roman" w:eastAsia="Times New Roman" w:hAnsi="Times New Roman"/>
          <w:sz w:val="16"/>
          <w:szCs w:val="16"/>
          <w:color w:val="0000FF"/>
        </w:rPr>
        <w:t>V DE</w:t>
      </w:r>
    </w:p>
    <w:p>
      <w:pPr>
        <w:spacing w:after="0" w:line="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(AIV),</w:t>
      </w:r>
    </w:p>
    <w:p>
      <w:pPr>
        <w:ind w:left="10240"/>
        <w:spacing w:after="0" w:line="185"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4" w:right="459" w:bottom="98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6998335"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8335" cy="10527030"/>
                    </a:xfrm>
                    <a:prstGeom prst="rect">
                      <a:avLst/>
                    </a:prstGeom>
                    <a:noFill/>
                  </pic:spPr>
                </pic:pic>
              </a:graphicData>
            </a:graphic>
          </wp:anchor>
        </w:drawing>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1720" w:type="dxa"/>
            <w:vAlign w:val="bottom"/>
          </w:tcPr>
          <w:p>
            <w:pPr>
              <w:ind w:left="74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1720" w:type="dxa"/>
            <w:vAlign w:val="bottom"/>
          </w:tcPr>
          <w:p>
            <w:pPr>
              <w:jc w:val="center"/>
              <w:ind w:left="606"/>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6"/>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6,403</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438.06</w:t>
            </w:r>
            <w:r>
              <w:rPr>
                <w:rFonts w:ascii="Times New Roman" w:cs="Times New Roman" w:eastAsia="Times New Roman" w:hAnsi="Times New Roman"/>
                <w:sz w:val="20"/>
                <w:szCs w:val="20"/>
                <w:color w:val="008000"/>
                <w:w w:val="98"/>
                <w:vertAlign w:val="superscript"/>
              </w:rPr>
              <w:t>(14)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114,608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6"/>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2,610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439.13</w:t>
            </w:r>
            <w:r>
              <w:rPr>
                <w:rFonts w:ascii="Times New Roman" w:cs="Times New Roman" w:eastAsia="Times New Roman" w:hAnsi="Times New Roman"/>
                <w:sz w:val="20"/>
                <w:szCs w:val="20"/>
                <w:color w:val="008000"/>
                <w:w w:val="98"/>
                <w:vertAlign w:val="superscript"/>
              </w:rPr>
              <w:t>(15)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111,998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6"/>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1,541</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439.99</w:t>
            </w:r>
            <w:r>
              <w:rPr>
                <w:rFonts w:ascii="Times New Roman" w:cs="Times New Roman" w:eastAsia="Times New Roman" w:hAnsi="Times New Roman"/>
                <w:sz w:val="20"/>
                <w:szCs w:val="20"/>
                <w:color w:val="008000"/>
                <w:w w:val="98"/>
                <w:vertAlign w:val="superscript"/>
              </w:rPr>
              <w:t>(16)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110,457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6"/>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1,730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441.13</w:t>
            </w:r>
            <w:r>
              <w:rPr>
                <w:rFonts w:ascii="Times New Roman" w:cs="Times New Roman" w:eastAsia="Times New Roman" w:hAnsi="Times New Roman"/>
                <w:sz w:val="20"/>
                <w:szCs w:val="20"/>
                <w:color w:val="008000"/>
                <w:w w:val="98"/>
                <w:vertAlign w:val="superscript"/>
              </w:rPr>
              <w:t>(17)</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108,727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6"/>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2,287</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442.24</w:t>
            </w:r>
            <w:r>
              <w:rPr>
                <w:rFonts w:ascii="Times New Roman" w:cs="Times New Roman" w:eastAsia="Times New Roman" w:hAnsi="Times New Roman"/>
                <w:sz w:val="20"/>
                <w:szCs w:val="20"/>
                <w:color w:val="008000"/>
                <w:w w:val="98"/>
                <w:vertAlign w:val="superscript"/>
              </w:rPr>
              <w:t>(18)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106,440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6"/>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3,618</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443.09</w:t>
            </w:r>
            <w:r>
              <w:rPr>
                <w:rFonts w:ascii="Times New Roman" w:cs="Times New Roman" w:eastAsia="Times New Roman" w:hAnsi="Times New Roman"/>
                <w:sz w:val="20"/>
                <w:szCs w:val="20"/>
                <w:color w:val="008000"/>
                <w:w w:val="98"/>
                <w:vertAlign w:val="superscript"/>
              </w:rPr>
              <w:t>(19)</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102,822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6"/>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2,463</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444.06</w:t>
            </w:r>
            <w:r>
              <w:rPr>
                <w:rFonts w:ascii="Times New Roman" w:cs="Times New Roman" w:eastAsia="Times New Roman" w:hAnsi="Times New Roman"/>
                <w:sz w:val="20"/>
                <w:szCs w:val="20"/>
                <w:color w:val="008000"/>
                <w:w w:val="98"/>
                <w:vertAlign w:val="superscript"/>
              </w:rPr>
              <w:t>(20)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100,359</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6"/>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8"/>
                <w:szCs w:val="18"/>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2,171</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445.25</w:t>
            </w:r>
            <w:r>
              <w:rPr>
                <w:rFonts w:ascii="Times New Roman" w:cs="Times New Roman" w:eastAsia="Times New Roman" w:hAnsi="Times New Roman"/>
                <w:sz w:val="20"/>
                <w:szCs w:val="20"/>
                <w:color w:val="008000"/>
                <w:w w:val="98"/>
                <w:vertAlign w:val="superscript"/>
              </w:rPr>
              <w:t>(21)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98,188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8" w:right="479" w:bottom="1440" w:gutter="0" w:footer="0" w:header="0"/>
        </w:sectPr>
      </w:pPr>
    </w:p>
    <w:p>
      <w:pPr>
        <w:ind w:left="10220"/>
        <w:spacing w:after="0" w:line="200" w:lineRule="auto"/>
        <w:rPr>
          <w:sz w:val="20"/>
          <w:szCs w:val="20"/>
          <w:color w:val="auto"/>
        </w:rPr>
      </w:pPr>
      <w:r>
        <w:rPr>
          <w:rFonts w:ascii="Times New Roman" w:cs="Times New Roman" w:eastAsia="Times New Roman" w:hAnsi="Times New Roman"/>
          <w:sz w:val="3"/>
          <w:szCs w:val="3"/>
          <w:color w:val="0000FF"/>
        </w:rPr>
        <w:t>Partners</w:t>
      </w:r>
    </w:p>
    <w:p>
      <w:pPr>
        <w:sectPr>
          <w:pgSz w:w="11900" w:h="16838" w:orient="portrait"/>
          <w:cols w:equalWidth="0" w:num="1">
            <w:col w:w="10940"/>
          </w:cols>
          <w:pgMar w:left="480" w:top="188" w:right="479" w:bottom="1440" w:gutter="0" w:footer="0" w:header="0"/>
          <w:type w:val="continuous"/>
        </w:sectPr>
      </w:pPr>
    </w:p>
    <w:p>
      <w:pPr>
        <w:ind w:left="10220"/>
        <w:spacing w:after="0"/>
        <w:rPr>
          <w:sz w:val="20"/>
          <w:szCs w:val="20"/>
          <w:color w:val="auto"/>
        </w:rPr>
      </w:pPr>
      <w:r>
        <w:rPr>
          <w:rFonts w:ascii="Times New Roman" w:cs="Times New Roman" w:eastAsia="Times New Roman" w:hAnsi="Times New Roman"/>
          <w:sz w:val="16"/>
          <w:szCs w:val="16"/>
          <w:color w:val="0000FF"/>
        </w:rPr>
        <w:t>V DE</w:t>
      </w:r>
    </w:p>
    <w:p>
      <w:pPr>
        <w:spacing w:after="0" w:line="15"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6"/>
          <w:szCs w:val="16"/>
          <w:color w:val="0000FF"/>
        </w:rPr>
        <w:t>(AIV),</w:t>
      </w:r>
    </w:p>
    <w:p>
      <w:pPr>
        <w:ind w:left="10220"/>
        <w:spacing w:after="0" w:line="185"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40"/>
          </w:cols>
          <w:pgMar w:left="480" w:top="188" w:right="479" w:bottom="1440" w:gutter="0" w:footer="0" w:header="0"/>
          <w:type w:val="continuous"/>
        </w:sectPr>
      </w:pPr>
    </w:p>
    <w:bookmarkStart w:id="2" w:name="page3"/>
    <w:bookmarkEnd w:id="2"/>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6998335" cy="10527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8335" cy="1052703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4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1720" w:type="dxa"/>
            <w:vAlign w:val="bottom"/>
          </w:tcPr>
          <w:p>
            <w:pPr>
              <w:ind w:left="74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1720" w:type="dxa"/>
            <w:vAlign w:val="bottom"/>
          </w:tcPr>
          <w:p>
            <w:pPr>
              <w:jc w:val="center"/>
              <w:ind w:left="607"/>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7"/>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7"/>
              <w:spacing w:after="0"/>
              <w:rPr>
                <w:sz w:val="20"/>
                <w:szCs w:val="20"/>
                <w:color w:val="auto"/>
              </w:rPr>
            </w:pPr>
            <w:r>
              <w:rPr>
                <w:rFonts w:ascii="Times New Roman" w:cs="Times New Roman" w:eastAsia="Times New Roman" w:hAnsi="Times New Roman"/>
                <w:sz w:val="16"/>
                <w:szCs w:val="16"/>
                <w:color w:val="0000FF"/>
                <w:w w:val="99"/>
              </w:rPr>
              <w:t>3,460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446.17</w:t>
            </w:r>
            <w:r>
              <w:rPr>
                <w:rFonts w:ascii="Times New Roman" w:cs="Times New Roman" w:eastAsia="Times New Roman" w:hAnsi="Times New Roman"/>
                <w:sz w:val="20"/>
                <w:szCs w:val="20"/>
                <w:color w:val="008000"/>
                <w:w w:val="98"/>
                <w:vertAlign w:val="superscript"/>
              </w:rPr>
              <w:t>(22)</w:t>
            </w: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0000FF"/>
              </w:rPr>
              <w:t>94,728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7"/>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7"/>
              <w:spacing w:after="0"/>
              <w:rPr>
                <w:sz w:val="20"/>
                <w:szCs w:val="20"/>
                <w:color w:val="auto"/>
              </w:rPr>
            </w:pPr>
            <w:r>
              <w:rPr>
                <w:rFonts w:ascii="Times New Roman" w:cs="Times New Roman" w:eastAsia="Times New Roman" w:hAnsi="Times New Roman"/>
                <w:sz w:val="16"/>
                <w:szCs w:val="16"/>
                <w:color w:val="0000FF"/>
                <w:w w:val="99"/>
              </w:rPr>
              <w:t>2,606</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447.03</w:t>
            </w:r>
            <w:r>
              <w:rPr>
                <w:rFonts w:ascii="Times New Roman" w:cs="Times New Roman" w:eastAsia="Times New Roman" w:hAnsi="Times New Roman"/>
                <w:sz w:val="20"/>
                <w:szCs w:val="20"/>
                <w:color w:val="008000"/>
                <w:w w:val="98"/>
                <w:vertAlign w:val="superscript"/>
              </w:rPr>
              <w:t>(23)</w:t>
            </w: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0000FF"/>
              </w:rPr>
              <w:t>92,122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7"/>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7"/>
              <w:spacing w:after="0"/>
              <w:rPr>
                <w:sz w:val="20"/>
                <w:szCs w:val="20"/>
                <w:color w:val="auto"/>
              </w:rPr>
            </w:pPr>
            <w:r>
              <w:rPr>
                <w:rFonts w:ascii="Times New Roman" w:cs="Times New Roman" w:eastAsia="Times New Roman" w:hAnsi="Times New Roman"/>
                <w:sz w:val="16"/>
                <w:szCs w:val="16"/>
                <w:color w:val="0000FF"/>
                <w:w w:val="99"/>
              </w:rPr>
              <w:t>181</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447.94</w:t>
            </w:r>
            <w:r>
              <w:rPr>
                <w:rFonts w:ascii="Times New Roman" w:cs="Times New Roman" w:eastAsia="Times New Roman" w:hAnsi="Times New Roman"/>
                <w:sz w:val="20"/>
                <w:szCs w:val="20"/>
                <w:color w:val="008000"/>
                <w:w w:val="98"/>
                <w:vertAlign w:val="superscript"/>
              </w:rPr>
              <w:t>(24)</w:t>
            </w: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0000FF"/>
              </w:rPr>
              <w:t>91,941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7"/>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7"/>
              <w:spacing w:after="0"/>
              <w:rPr>
                <w:sz w:val="20"/>
                <w:szCs w:val="20"/>
                <w:color w:val="auto"/>
              </w:rPr>
            </w:pPr>
            <w:r>
              <w:rPr>
                <w:rFonts w:ascii="Times New Roman" w:cs="Times New Roman" w:eastAsia="Times New Roman" w:hAnsi="Times New Roman"/>
                <w:sz w:val="16"/>
                <w:szCs w:val="16"/>
                <w:color w:val="0000FF"/>
                <w:w w:val="99"/>
              </w:rPr>
              <w:t>1,656</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450.62</w:t>
            </w:r>
            <w:r>
              <w:rPr>
                <w:rFonts w:ascii="Times New Roman" w:cs="Times New Roman" w:eastAsia="Times New Roman" w:hAnsi="Times New Roman"/>
                <w:sz w:val="20"/>
                <w:szCs w:val="20"/>
                <w:color w:val="008000"/>
                <w:w w:val="98"/>
                <w:vertAlign w:val="superscript"/>
              </w:rPr>
              <w:t>(25)</w:t>
            </w: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0000FF"/>
              </w:rPr>
              <w:t>90,285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7"/>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7"/>
              <w:spacing w:after="0"/>
              <w:rPr>
                <w:sz w:val="20"/>
                <w:szCs w:val="20"/>
                <w:color w:val="auto"/>
              </w:rPr>
            </w:pPr>
            <w:r>
              <w:rPr>
                <w:rFonts w:ascii="Times New Roman" w:cs="Times New Roman" w:eastAsia="Times New Roman" w:hAnsi="Times New Roman"/>
                <w:sz w:val="16"/>
                <w:szCs w:val="16"/>
                <w:color w:val="0000FF"/>
                <w:w w:val="99"/>
              </w:rPr>
              <w:t>1,034</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451.51</w:t>
            </w:r>
            <w:r>
              <w:rPr>
                <w:rFonts w:ascii="Times New Roman" w:cs="Times New Roman" w:eastAsia="Times New Roman" w:hAnsi="Times New Roman"/>
                <w:sz w:val="20"/>
                <w:szCs w:val="20"/>
                <w:color w:val="008000"/>
                <w:w w:val="98"/>
                <w:vertAlign w:val="superscript"/>
              </w:rPr>
              <w:t>(26)</w:t>
            </w: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0000FF"/>
              </w:rPr>
              <w:t>89,251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99"/>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7"/>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7"/>
              <w:spacing w:after="0"/>
              <w:rPr>
                <w:sz w:val="20"/>
                <w:szCs w:val="20"/>
                <w:color w:val="auto"/>
              </w:rPr>
            </w:pPr>
            <w:r>
              <w:rPr>
                <w:rFonts w:ascii="Times New Roman" w:cs="Times New Roman" w:eastAsia="Times New Roman" w:hAnsi="Times New Roman"/>
                <w:sz w:val="16"/>
                <w:szCs w:val="16"/>
                <w:color w:val="0000FF"/>
                <w:w w:val="99"/>
              </w:rPr>
              <w:t>907</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452.43</w:t>
            </w:r>
            <w:r>
              <w:rPr>
                <w:rFonts w:ascii="Times New Roman" w:cs="Times New Roman" w:eastAsia="Times New Roman" w:hAnsi="Times New Roman"/>
                <w:sz w:val="20"/>
                <w:szCs w:val="20"/>
                <w:color w:val="008000"/>
                <w:w w:val="98"/>
                <w:vertAlign w:val="superscript"/>
              </w:rPr>
              <w:t>(27)</w:t>
            </w: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0000FF"/>
              </w:rPr>
              <w:t>88,344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2"/>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6"/>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1"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20" w:type="dxa"/>
            <w:vAlign w:val="bottom"/>
            <w:vMerge w:val="restart"/>
          </w:tcPr>
          <w:p>
            <w:pPr>
              <w:jc w:val="center"/>
              <w:ind w:left="627"/>
              <w:spacing w:after="0"/>
              <w:rPr>
                <w:sz w:val="20"/>
                <w:szCs w:val="20"/>
                <w:color w:val="auto"/>
              </w:rPr>
            </w:pPr>
            <w:r>
              <w:rPr>
                <w:rFonts w:ascii="Times New Roman" w:cs="Times New Roman" w:eastAsia="Times New Roman" w:hAnsi="Times New Roman"/>
                <w:sz w:val="16"/>
                <w:szCs w:val="16"/>
                <w:color w:val="0000FF"/>
              </w:rPr>
              <w:t>06/02/2026</w:t>
            </w:r>
          </w:p>
        </w:tc>
        <w:tc>
          <w:tcPr>
            <w:tcW w:w="1040" w:type="dxa"/>
            <w:vAlign w:val="bottom"/>
          </w:tcPr>
          <w:p>
            <w:pPr>
              <w:spacing w:after="0"/>
              <w:rPr>
                <w:sz w:val="18"/>
                <w:szCs w:val="18"/>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7"/>
              <w:spacing w:after="0"/>
              <w:rPr>
                <w:sz w:val="20"/>
                <w:szCs w:val="20"/>
                <w:color w:val="auto"/>
              </w:rPr>
            </w:pPr>
            <w:r>
              <w:rPr>
                <w:rFonts w:ascii="Times New Roman" w:cs="Times New Roman" w:eastAsia="Times New Roman" w:hAnsi="Times New Roman"/>
                <w:sz w:val="16"/>
                <w:szCs w:val="16"/>
                <w:color w:val="0000FF"/>
                <w:w w:val="99"/>
              </w:rPr>
              <w:t>320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453.77</w:t>
            </w:r>
            <w:r>
              <w:rPr>
                <w:rFonts w:ascii="Times New Roman" w:cs="Times New Roman" w:eastAsia="Times New Roman" w:hAnsi="Times New Roman"/>
                <w:sz w:val="20"/>
                <w:szCs w:val="20"/>
                <w:color w:val="008000"/>
                <w:w w:val="98"/>
                <w:vertAlign w:val="superscript"/>
              </w:rPr>
              <w:t>(28)</w:t>
            </w: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0000FF"/>
              </w:rPr>
              <w:t>88,024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56" w:orient="portrait"/>
          <w:cols w:equalWidth="0" w:num="1">
            <w:col w:w="11080"/>
          </w:cols>
          <w:pgMar w:left="460" w:top="188" w:right="359" w:bottom="0" w:gutter="0" w:footer="0" w:header="0"/>
        </w:sectPr>
      </w:pPr>
    </w:p>
    <w:p>
      <w:pPr>
        <w:ind w:left="10240"/>
        <w:spacing w:after="0" w:line="200" w:lineRule="auto"/>
        <w:rPr>
          <w:sz w:val="20"/>
          <w:szCs w:val="20"/>
          <w:color w:val="auto"/>
        </w:rPr>
      </w:pPr>
      <w:r>
        <w:rPr>
          <w:rFonts w:ascii="Times New Roman" w:cs="Times New Roman" w:eastAsia="Times New Roman" w:hAnsi="Times New Roman"/>
          <w:sz w:val="3"/>
          <w:szCs w:val="3"/>
          <w:color w:val="0000FF"/>
        </w:rPr>
        <w:t>Partners</w:t>
      </w:r>
    </w:p>
    <w:p>
      <w:pPr>
        <w:sectPr>
          <w:pgSz w:w="11900" w:h="16856" w:orient="portrait"/>
          <w:cols w:equalWidth="0" w:num="1">
            <w:col w:w="11080"/>
          </w:cols>
          <w:pgMar w:left="460" w:top="188" w:right="359" w:bottom="0" w:gutter="0" w:footer="0" w:header="0"/>
          <w:type w:val="continuous"/>
        </w:sectPr>
      </w:pPr>
    </w:p>
    <w:p>
      <w:pPr>
        <w:ind w:left="10240"/>
        <w:spacing w:after="0"/>
        <w:rPr>
          <w:sz w:val="20"/>
          <w:szCs w:val="20"/>
          <w:color w:val="auto"/>
        </w:rPr>
      </w:pPr>
      <w:r>
        <w:rPr>
          <w:rFonts w:ascii="Times New Roman" w:cs="Times New Roman" w:eastAsia="Times New Roman" w:hAnsi="Times New Roman"/>
          <w:sz w:val="16"/>
          <w:szCs w:val="16"/>
          <w:color w:val="0000FF"/>
        </w:rPr>
        <w:t>V DE</w:t>
      </w:r>
    </w:p>
    <w:p>
      <w:pPr>
        <w:spacing w:after="0" w:line="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(AIV),</w:t>
      </w:r>
    </w:p>
    <w:p>
      <w:pPr>
        <w:ind w:left="10240"/>
        <w:spacing w:after="0" w:line="185"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pacing w:after="0" w:line="113"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Held</w:t>
      </w:r>
    </w:p>
    <w:p>
      <w:pPr>
        <w:spacing w:after="0" w:line="2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through</w:t>
      </w:r>
    </w:p>
    <w:p>
      <w:pPr>
        <w:spacing w:after="0" w:line="15" w:lineRule="exact"/>
        <w:rPr>
          <w:sz w:val="20"/>
          <w:szCs w:val="20"/>
          <w:color w:val="auto"/>
        </w:rPr>
      </w:pPr>
    </w:p>
    <w:p>
      <w:pPr>
        <w:ind w:left="8520" w:right="460" w:hanging="10161"/>
        <w:spacing w:after="0"/>
        <w:tabs>
          <w:tab w:leader="none" w:pos="850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 xml:space="preserve">4,891 I </w:t>
      </w:r>
      <w:r>
        <w:rPr>
          <w:rFonts w:ascii="Times New Roman" w:cs="Times New Roman" w:eastAsia="Times New Roman" w:hAnsi="Times New Roman"/>
          <w:sz w:val="32"/>
          <w:szCs w:val="32"/>
          <w:color w:val="0000FF"/>
          <w:vertAlign w:val="superscript"/>
        </w:rPr>
        <w:t>Silver</w:t>
      </w:r>
      <w:r>
        <w:rPr>
          <w:rFonts w:ascii="Times New Roman" w:cs="Times New Roman" w:eastAsia="Times New Roman" w:hAnsi="Times New Roman"/>
          <w:sz w:val="16"/>
          <w:szCs w:val="16"/>
          <w:color w:val="0000FF"/>
        </w:rPr>
        <w:t xml:space="preserve"> Lake</w:t>
      </w:r>
    </w:p>
    <w:p>
      <w:pPr>
        <w:spacing w:after="0" w:line="3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Group,</w:t>
      </w:r>
    </w:p>
    <w:p>
      <w:pPr>
        <w:spacing w:after="0" w:line="8"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4300" w:type="dxa"/>
            <w:vAlign w:val="bottom"/>
            <w:vMerge w:val="restart"/>
          </w:tcPr>
          <w:p>
            <w:pPr>
              <w:jc w:val="center"/>
              <w:ind w:left="3019"/>
              <w:spacing w:after="0"/>
              <w:rPr>
                <w:sz w:val="20"/>
                <w:szCs w:val="20"/>
                <w:color w:val="auto"/>
              </w:rPr>
            </w:pPr>
            <w:r>
              <w:rPr>
                <w:rFonts w:ascii="Times New Roman" w:cs="Times New Roman" w:eastAsia="Times New Roman" w:hAnsi="Times New Roman"/>
                <w:sz w:val="16"/>
                <w:szCs w:val="16"/>
                <w:color w:val="0000FF"/>
                <w:w w:val="99"/>
              </w:rPr>
              <w:t>4,277</w:t>
            </w:r>
          </w:p>
        </w:tc>
        <w:tc>
          <w:tcPr>
            <w:tcW w:w="74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vMerge w:val="continue"/>
          </w:tcPr>
          <w:p>
            <w:pPr>
              <w:spacing w:after="0"/>
              <w:rPr>
                <w:sz w:val="9"/>
                <w:szCs w:val="9"/>
                <w:color w:val="auto"/>
              </w:rPr>
            </w:pPr>
          </w:p>
        </w:tc>
        <w:tc>
          <w:tcPr>
            <w:tcW w:w="43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Borders>
              <w:bottom w:val="single" w:sz="8" w:color="2C2C2C"/>
            </w:tcBorders>
          </w:tcPr>
          <w:p>
            <w:pPr>
              <w:spacing w:after="0"/>
              <w:rPr>
                <w:sz w:val="13"/>
                <w:szCs w:val="13"/>
                <w:color w:val="auto"/>
              </w:rPr>
            </w:pPr>
          </w:p>
        </w:tc>
        <w:tc>
          <w:tcPr>
            <w:tcW w:w="43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4300" w:type="dxa"/>
            <w:vAlign w:val="bottom"/>
            <w:vMerge w:val="restart"/>
          </w:tcPr>
          <w:p>
            <w:pPr>
              <w:jc w:val="center"/>
              <w:ind w:left="2999"/>
              <w:spacing w:after="0"/>
              <w:rPr>
                <w:sz w:val="20"/>
                <w:szCs w:val="20"/>
                <w:color w:val="auto"/>
              </w:rPr>
            </w:pPr>
            <w:r>
              <w:rPr>
                <w:rFonts w:ascii="Times New Roman" w:cs="Times New Roman" w:eastAsia="Times New Roman" w:hAnsi="Times New Roman"/>
                <w:sz w:val="16"/>
                <w:szCs w:val="16"/>
                <w:color w:val="0000FF"/>
              </w:rPr>
              <w:t>129,705</w:t>
            </w:r>
          </w:p>
        </w:tc>
        <w:tc>
          <w:tcPr>
            <w:tcW w:w="74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vMerge w:val="continue"/>
          </w:tcPr>
          <w:p>
            <w:pPr>
              <w:spacing w:after="0"/>
              <w:rPr>
                <w:sz w:val="9"/>
                <w:szCs w:val="9"/>
                <w:color w:val="auto"/>
              </w:rPr>
            </w:pPr>
          </w:p>
        </w:tc>
        <w:tc>
          <w:tcPr>
            <w:tcW w:w="43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9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4300" w:type="dxa"/>
            <w:vAlign w:val="bottom"/>
            <w:tcBorders>
              <w:top w:val="single" w:sz="8" w:color="2C2C2C"/>
              <w:bottom w:val="single" w:sz="8" w:color="2C2C2C"/>
            </w:tcBorders>
          </w:tcPr>
          <w:p>
            <w:pPr>
              <w:jc w:val="center"/>
              <w:ind w:left="2999"/>
              <w:spacing w:after="0"/>
              <w:rPr>
                <w:sz w:val="20"/>
                <w:szCs w:val="20"/>
                <w:color w:val="auto"/>
              </w:rPr>
            </w:pPr>
            <w:r>
              <w:rPr>
                <w:rFonts w:ascii="Times New Roman" w:cs="Times New Roman" w:eastAsia="Times New Roman" w:hAnsi="Times New Roman"/>
                <w:sz w:val="16"/>
                <w:szCs w:val="16"/>
                <w:color w:val="0000FF"/>
              </w:rPr>
              <w:t>1,313,489</w:t>
            </w:r>
          </w:p>
        </w:tc>
        <w:tc>
          <w:tcPr>
            <w:tcW w:w="740" w:type="dxa"/>
            <w:vAlign w:val="bottom"/>
            <w:tcBorders>
              <w:top w:val="single" w:sz="8" w:color="2C2C2C"/>
              <w:bottom w:val="single" w:sz="8" w:color="2C2C2C"/>
            </w:tcBorders>
          </w:tcPr>
          <w:p>
            <w:pPr>
              <w:jc w:val="center"/>
              <w:ind w:left="27"/>
              <w:spacing w:after="0" w:line="298"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9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4300" w:type="dxa"/>
            <w:vAlign w:val="bottom"/>
            <w:vMerge w:val="restart"/>
          </w:tcPr>
          <w:p>
            <w:pPr>
              <w:jc w:val="center"/>
              <w:ind w:left="2999"/>
              <w:spacing w:after="0"/>
              <w:rPr>
                <w:sz w:val="20"/>
                <w:szCs w:val="20"/>
                <w:color w:val="auto"/>
              </w:rPr>
            </w:pPr>
            <w:r>
              <w:rPr>
                <w:rFonts w:ascii="Times New Roman" w:cs="Times New Roman" w:eastAsia="Times New Roman" w:hAnsi="Times New Roman"/>
                <w:sz w:val="16"/>
                <w:szCs w:val="16"/>
                <w:color w:val="0000FF"/>
              </w:rPr>
              <w:t>46,753</w:t>
            </w:r>
          </w:p>
        </w:tc>
        <w:tc>
          <w:tcPr>
            <w:tcW w:w="74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80" w:type="dxa"/>
            <w:vAlign w:val="bottom"/>
            <w:vMerge w:val="continue"/>
          </w:tcPr>
          <w:p>
            <w:pPr>
              <w:spacing w:after="0"/>
              <w:rPr>
                <w:sz w:val="9"/>
                <w:szCs w:val="9"/>
                <w:color w:val="auto"/>
              </w:rPr>
            </w:pPr>
          </w:p>
        </w:tc>
        <w:tc>
          <w:tcPr>
            <w:tcW w:w="43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4980" w:type="dxa"/>
            <w:vAlign w:val="bottom"/>
            <w:tcBorders>
              <w:bottom w:val="single" w:sz="8" w:color="2C2C2C"/>
            </w:tcBorders>
          </w:tcPr>
          <w:p>
            <w:pPr>
              <w:spacing w:after="0"/>
              <w:rPr>
                <w:sz w:val="13"/>
                <w:szCs w:val="13"/>
                <w:color w:val="auto"/>
              </w:rPr>
            </w:pPr>
          </w:p>
        </w:tc>
        <w:tc>
          <w:tcPr>
            <w:tcW w:w="43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4980" w:type="dxa"/>
            <w:vAlign w:val="bottom"/>
            <w:shd w:val="clear" w:color="auto" w:fill="808080"/>
          </w:tcPr>
          <w:p>
            <w:pPr>
              <w:spacing w:after="0" w:line="20" w:lineRule="exact"/>
              <w:rPr>
                <w:sz w:val="1"/>
                <w:szCs w:val="1"/>
                <w:color w:val="auto"/>
              </w:rPr>
            </w:pPr>
          </w:p>
        </w:tc>
        <w:tc>
          <w:tcPr>
            <w:tcW w:w="430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7015480</wp:posOffset>
            </wp:positionH>
            <wp:positionV relativeFrom="paragraph">
              <wp:posOffset>-19685</wp:posOffset>
            </wp:positionV>
            <wp:extent cx="203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320" cy="59690"/>
                    </a:xfrm>
                    <a:prstGeom prst="rect">
                      <a:avLst/>
                    </a:prstGeom>
                    <a:noFill/>
                  </pic:spPr>
                </pic:pic>
              </a:graphicData>
            </a:graphic>
          </wp:anchor>
        </w:drawing>
      </w:r>
    </w:p>
    <w:p>
      <w:pPr>
        <w:sectPr>
          <w:pgSz w:w="11900" w:h="16856" w:orient="portrait"/>
          <w:cols w:equalWidth="0" w:num="1">
            <w:col w:w="11080"/>
          </w:cols>
          <w:pgMar w:left="460" w:top="188" w:right="35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7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49135" cy="1052703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0"/>
                <w:szCs w:val="10"/>
                <w:color w:val="auto"/>
              </w:rPr>
            </w:pPr>
          </w:p>
        </w:tc>
        <w:tc>
          <w:tcPr>
            <w:tcW w:w="1040" w:type="dxa"/>
            <w:vAlign w:val="bottom"/>
            <w:gridSpan w:val="3"/>
          </w:tcPr>
          <w:p>
            <w:pPr>
              <w:ind w:left="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3"/>
            <w:vMerge w:val="restart"/>
          </w:tcPr>
          <w:p>
            <w:pPr>
              <w:ind w:left="60"/>
              <w:spacing w:after="0" w:line="262"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8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6"/>
                <w:szCs w:val="6"/>
                <w:color w:val="auto"/>
              </w:rPr>
            </w:pPr>
          </w:p>
        </w:tc>
        <w:tc>
          <w:tcPr>
            <w:tcW w:w="86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color w:val="0000FF"/>
              </w:rPr>
              <w:t>115,697</w:t>
            </w: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gridSpan w:val="2"/>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2"/>
                <w:szCs w:val="12"/>
                <w:color w:val="0000FF"/>
              </w:rPr>
              <w:t>06/02/2026</w:t>
            </w: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115,697</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jc w:val="right"/>
              <w:ind w:right="144"/>
              <w:spacing w:after="0"/>
              <w:rPr>
                <w:sz w:val="20"/>
                <w:szCs w:val="20"/>
                <w:color w:val="auto"/>
              </w:rPr>
            </w:pPr>
            <w:r>
              <w:rPr>
                <w:rFonts w:ascii="Times New Roman" w:cs="Times New Roman" w:eastAsia="Times New Roman" w:hAnsi="Times New Roman"/>
                <w:sz w:val="12"/>
                <w:szCs w:val="12"/>
                <w:color w:val="0000FF"/>
              </w:rPr>
              <w:t>9,920,037</w:t>
            </w: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color w:val="0000FF"/>
              </w:rPr>
              <w:t>Partners V</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DE (AIV),</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80"/>
              <w:spacing w:after="0" w:line="226"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36,569,973</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ind w:left="8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jc w:val="right"/>
              <w:ind w:right="104"/>
              <w:spacing w:after="0" w:line="100" w:lineRule="exact"/>
              <w:rPr>
                <w:sz w:val="20"/>
                <w:szCs w:val="20"/>
                <w:color w:val="auto"/>
              </w:rPr>
            </w:pPr>
            <w:r>
              <w:rPr>
                <w:rFonts w:ascii="Times New Roman" w:cs="Times New Roman" w:eastAsia="Times New Roman" w:hAnsi="Times New Roman"/>
                <w:sz w:val="11"/>
                <w:szCs w:val="11"/>
                <w:color w:val="0000FF"/>
              </w:rPr>
              <w:t>36,569,973</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gridSpan w:val="2"/>
          </w:tcPr>
          <w:p>
            <w:pPr>
              <w:ind w:left="8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(29)</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gridSpan w:val="9"/>
          </w:tcPr>
          <w:p>
            <w:pPr>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V DE (AIV), L.P.</w:t>
              </w:r>
            </w:hyperlink>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gridSpan w:val="9"/>
          </w:tcPr>
          <w:p>
            <w:pPr>
              <w:spacing w:after="0" w:line="211" w:lineRule="exact"/>
              <w:rPr>
                <w:rFonts w:ascii="Times New Roman" w:cs="Times New Roman" w:eastAsia="Times New Roman" w:hAnsi="Times New Roman"/>
                <w:sz w:val="20"/>
                <w:szCs w:val="20"/>
                <w:color w:val="0000EE"/>
                <w:w w:val="97"/>
              </w:rPr>
            </w:pPr>
            <w:hyperlink r:id="rId19">
              <w:r>
                <w:rPr>
                  <w:rFonts w:ascii="Times New Roman" w:cs="Times New Roman" w:eastAsia="Times New Roman" w:hAnsi="Times New Roman"/>
                  <w:sz w:val="20"/>
                  <w:szCs w:val="20"/>
                  <w:color w:val="0000EE"/>
                  <w:w w:val="97"/>
                </w:rPr>
                <w:t>Silver Lake Technology Associates V, L.P.</w:t>
              </w:r>
            </w:hyperlink>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1"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V (GP), L.L.C.</w:t>
              </w:r>
            </w:hyperlink>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1"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line="211"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88" w:right="359" w:bottom="0" w:gutter="0" w:footer="0" w:header="0"/>
        </w:sectPr>
      </w:pPr>
    </w:p>
    <w:p>
      <w:pPr>
        <w:spacing w:after="0" w:line="87"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188" w:right="359" w:bottom="0" w:gutter="0" w:footer="0" w:header="0"/>
          <w:type w:val="continuous"/>
        </w:sectPr>
      </w:pPr>
    </w:p>
    <w:bookmarkStart w:id="4" w:name="page5"/>
    <w:bookmarkEnd w:id="4"/>
    <w:p>
      <w:pPr>
        <w:ind w:left="4"/>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4955"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14955" cy="36195"/>
                    </a:xfrm>
                    <a:prstGeom prst="rect">
                      <a:avLst/>
                    </a:prstGeom>
                    <a:noFill/>
                  </pic:spPr>
                </pic:pic>
              </a:graphicData>
            </a:graphic>
          </wp:anchor>
        </w:drawing>
        <w:t>Explanation of Responses:</w:t>
      </w:r>
    </w:p>
    <w:p>
      <w:pPr>
        <w:spacing w:after="0" w:line="48" w:lineRule="exact"/>
        <w:rPr>
          <w:sz w:val="20"/>
          <w:szCs w:val="20"/>
          <w:color w:val="auto"/>
        </w:rPr>
      </w:pPr>
    </w:p>
    <w:p>
      <w:pPr>
        <w:jc w:val="both"/>
        <w:ind w:left="4" w:right="120" w:hanging="4"/>
        <w:spacing w:after="0" w:line="257"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2, 2026 and initiated in-kind distributions of shares of Class C Common Stock on June 2, 2026. The receipt of shares of Class C Common Stock by each of the Reporting Persons in connection with such distributions was exempt from reporting pursuant to Rule 16a-13 of the Exchange Act.</w:t>
      </w:r>
    </w:p>
    <w:p>
      <w:pPr>
        <w:spacing w:after="0" w:line="15" w:lineRule="exact"/>
        <w:rPr>
          <w:rFonts w:ascii="Times New Roman" w:cs="Times New Roman" w:eastAsia="Times New Roman" w:hAnsi="Times New Roman"/>
          <w:sz w:val="12"/>
          <w:szCs w:val="12"/>
          <w:color w:val="008000"/>
        </w:rPr>
      </w:pPr>
    </w:p>
    <w:p>
      <w:pPr>
        <w:ind w:left="4" w:right="100" w:hanging="4"/>
        <w:spacing w:after="0" w:line="257"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2, 2026, certain of the Reporting Persons converted shares of Class B Common Stock into an equal number of shares of Class C Common Stock in connection with the sales and distributions described in footnote (1) above.</w:t>
      </w:r>
    </w:p>
    <w:p>
      <w:pPr>
        <w:spacing w:after="0" w:line="15" w:lineRule="exact"/>
        <w:rPr>
          <w:rFonts w:ascii="Times New Roman" w:cs="Times New Roman" w:eastAsia="Times New Roman" w:hAnsi="Times New Roman"/>
          <w:sz w:val="12"/>
          <w:szCs w:val="12"/>
          <w:color w:val="008000"/>
        </w:rPr>
      </w:pPr>
    </w:p>
    <w:p>
      <w:pPr>
        <w:ind w:left="4" w:right="60"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V DE (AIV), L.P. The general partner of Silver Lake Partners V DE (AIV), L.P. is Silver Lake Technology Associates V, L.P. and the general partner of Silver Lake Technology Associates V, L.P. is SLTA V (GP), L.L.C.</w:t>
      </w:r>
    </w:p>
    <w:p>
      <w:pPr>
        <w:spacing w:after="0" w:line="5" w:lineRule="exact"/>
        <w:rPr>
          <w:rFonts w:ascii="Times New Roman" w:cs="Times New Roman" w:eastAsia="Times New Roman" w:hAnsi="Times New Roman"/>
          <w:sz w:val="12"/>
          <w:szCs w:val="12"/>
          <w:color w:val="008000"/>
        </w:rPr>
      </w:pPr>
    </w:p>
    <w:p>
      <w:pPr>
        <w:ind w:left="4" w:right="420"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spacing w:after="0" w:line="5" w:lineRule="exact"/>
        <w:rPr>
          <w:rFonts w:ascii="Times New Roman" w:cs="Times New Roman" w:eastAsia="Times New Roman" w:hAnsi="Times New Roman"/>
          <w:sz w:val="12"/>
          <w:szCs w:val="12"/>
          <w:color w:val="008000"/>
        </w:rPr>
      </w:pPr>
    </w:p>
    <w:p>
      <w:pPr>
        <w:ind w:left="4" w:right="20"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 Shares held include shares of Class C Common Stock received in connection with the distributions described herein on June 2, 2026. The receipt of such shares of Class C Common Stock was exempt from reporting pursuant to Rule 16a-13 of the Exchange Act.</w:t>
      </w:r>
    </w:p>
    <w:p>
      <w:pPr>
        <w:spacing w:after="0" w:line="5" w:lineRule="exact"/>
        <w:rPr>
          <w:rFonts w:ascii="Times New Roman" w:cs="Times New Roman" w:eastAsia="Times New Roman" w:hAnsi="Times New Roman"/>
          <w:sz w:val="12"/>
          <w:szCs w:val="12"/>
          <w:color w:val="008000"/>
        </w:rPr>
      </w:pPr>
    </w:p>
    <w:p>
      <w:pPr>
        <w:ind w:left="4" w:right="80"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 including shares received in connection with the distributions of shares of Class C Common Stock on June 2, 2026. The receipt of such shares of Class C Common Stock indirectly by Mr. Durban was exempt from reporting pursuant to Rule 16a-13 of the Exchange Act.</w:t>
      </w:r>
    </w:p>
    <w:p>
      <w:pPr>
        <w:spacing w:after="0" w:line="5" w:lineRule="exact"/>
        <w:rPr>
          <w:rFonts w:ascii="Times New Roman" w:cs="Times New Roman" w:eastAsia="Times New Roman" w:hAnsi="Times New Roman"/>
          <w:sz w:val="12"/>
          <w:szCs w:val="12"/>
          <w:color w:val="008000"/>
        </w:rPr>
      </w:pPr>
    </w:p>
    <w:p>
      <w:pPr>
        <w:ind w:left="4" w:right="180" w:hanging="4"/>
        <w:spacing w:after="0" w:line="257"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14,785 and 90,357 shares held by SLTA SPV-2, L.P., Silver Lake Technology Associates V, L.P. and SLG, respectively, on behalf of such individuals, including shares distributed in the June 2, 2026 distributions. The receipt of such shares of Class C Common Stock was exempt from reporting pursuant to Rule 16a-13 of the Exchange Act.</w:t>
      </w:r>
    </w:p>
    <w:p>
      <w:pPr>
        <w:spacing w:after="0" w:line="15" w:lineRule="exact"/>
        <w:rPr>
          <w:rFonts w:ascii="Times New Roman" w:cs="Times New Roman" w:eastAsia="Times New Roman" w:hAnsi="Times New Roman"/>
          <w:sz w:val="12"/>
          <w:szCs w:val="12"/>
          <w:color w:val="008000"/>
        </w:rPr>
      </w:pPr>
    </w:p>
    <w:p>
      <w:pPr>
        <w:ind w:left="4"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by Mr. Durban including shares received in connection with the distributions of shares of Class C Common Stock on June 2, 2026. The receipt of such shares of Class C Common Stock was exempt from reporting pursuant to Rule 16a-13 of the Exchange Act. Mr. Durban has filed a separate Form 4 reporting transactions in securities of the Issuer on June 2, 2026.</w:t>
      </w:r>
    </w:p>
    <w:p>
      <w:pPr>
        <w:spacing w:after="0" w:line="5" w:lineRule="exact"/>
        <w:rPr>
          <w:rFonts w:ascii="Times New Roman" w:cs="Times New Roman" w:eastAsia="Times New Roman" w:hAnsi="Times New Roman"/>
          <w:sz w:val="12"/>
          <w:szCs w:val="12"/>
          <w:color w:val="008000"/>
        </w:rPr>
      </w:pPr>
    </w:p>
    <w:p>
      <w:pPr>
        <w:ind w:left="4" w:right="200" w:hanging="4"/>
        <w:spacing w:after="0" w:line="276"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2, 2026. The receipt of such shares of Class C Common Stock indirectly by Mr. Durban was exempt from reporting pursuant to Rule 16a-13 of the Exchange Act.</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$433.5950 to $434.5300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60" w:hanging="4"/>
        <w:spacing w:after="0" w:line="276"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$434.6200 to $435.6017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$435.6200 to $436.6100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$436.6206 to $437.6100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$437.6200 to $438.6100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$438.6200 to $439.6183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$439.6353 to $440.5984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$440.6300 to $441.6180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$441.6600 to $442.6590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$442.6637 to $443.6598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$443.6699 to $444.6332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$444.6656 to $445.6500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$445.6744 to $446.6677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$446.6700 to $447.6527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$447.7301 to $448.0000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$450.0100 to $451.0000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$451.0300 to $452.0000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$452.0400 to $453.0000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4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$453.1800 to $454.0500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4" w:right="120" w:hanging="4"/>
        <w:spacing w:after="0" w:line="276"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SL SPV-2, L.P. directly holds 17,852,378 shares of Class B Common Stock, Silver Lake Partners IV, L.P. directly holds 18,326,361 shares of Class B Common Stock, Silver Lake Technology Investors IV, L.P. directly holds 269,641 shares of Class B Common Stock and Silver Lake Technology Investors V, L.P. directly holds 121,593 shares of Class B Common Stock, which securities are reported on separate Form 4 filings.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4" w:right="20"/>
        <w:spacing w:after="0" w:line="250"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04"/>
          </w:cols>
          <w:pgMar w:left="496" w:top="201" w:right="499" w:bottom="0" w:gutter="0" w:footer="0" w:header="0"/>
        </w:sectPr>
      </w:pPr>
    </w:p>
    <w:p>
      <w:pPr>
        <w:spacing w:after="0" w:line="4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604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6045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918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918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877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Lake Partners 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3138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1381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604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6045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3195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195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877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593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5938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member of SLTA V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3563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356360" cy="7620"/>
                    </a:xfrm>
                    <a:prstGeom prst="rect">
                      <a:avLst/>
                    </a:prstGeom>
                    <a:noFill/>
                  </pic:spPr>
                </pic:pic>
              </a:graphicData>
            </a:graphic>
          </wp:anchor>
        </w:drawing>
      </w:r>
    </w:p>
    <w:p>
      <w:pPr>
        <w:spacing w:after="0" w:line="44"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5829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29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8704" w:space="60"/>
            <w:col w:w="2140"/>
          </w:cols>
          <w:pgMar w:left="496" w:top="201" w:right="499" w:bottom="0" w:gutter="0" w:footer="0" w:header="0"/>
          <w:type w:val="continuous"/>
        </w:sectPr>
      </w:pPr>
    </w:p>
    <w:tbl>
      <w:tblPr>
        <w:tblLayout w:type="fixed"/>
        <w:tblInd w:w="6564" w:type="dxa"/>
        <w:tblCellMar>
          <w:top w:w="0" w:type="dxa"/>
          <w:left w:w="0" w:type="dxa"/>
          <w:bottom w:w="0" w:type="dxa"/>
          <w:right w:w="0" w:type="dxa"/>
        </w:tblCellMar>
      </w:tblPr>
      <w:tr>
        <w:trPr>
          <w:trHeight w:val="18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0000FF"/>
                <w:w w:val="98"/>
              </w:rPr>
              <w:t>By: /s/ Justin G. Hamill,</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06/04/2026</w:t>
            </w: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ectPr>
          <w:pgSz w:w="11900" w:h="16838" w:orient="portrait"/>
          <w:cols w:equalWidth="0" w:num="1">
            <w:col w:w="10904"/>
          </w:cols>
          <w:pgMar w:left="496" w:top="201" w:right="499" w:bottom="0" w:gutter="0" w:footer="0" w:header="0"/>
          <w:type w:val="continuous"/>
        </w:sectPr>
      </w:pPr>
    </w:p>
    <w:bookmarkStart w:id="5" w:name="page6"/>
    <w:bookmarkEnd w:id="5"/>
    <w:p>
      <w:pPr>
        <w:ind w:left="6564"/>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0521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052195"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3073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07340" cy="7620"/>
                    </a:xfrm>
                    <a:prstGeom prst="rect">
                      <a:avLst/>
                    </a:prstGeom>
                    <a:noFill/>
                  </pic:spPr>
                </pic:pic>
              </a:graphicData>
            </a:graphic>
          </wp:anchor>
        </w:drawing>
      </w:r>
    </w:p>
    <w:p>
      <w:pPr>
        <w:spacing w:after="0" w:line="33"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799" w:hanging="4"/>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13" Type="http://schemas.openxmlformats.org/officeDocument/2006/relationships/hyperlink" Target="http://www.sec.gov/cgi-bin/browse-edgar?action=getcompany&amp;CIK=0001737659" TargetMode="External"/><Relationship Id="rId14" Type="http://schemas.openxmlformats.org/officeDocument/2006/relationships/hyperlink" Target="http://www.sec.gov/cgi-bin/browse-edgar?action=getcompany&amp;CIK=0001571996" TargetMode="External"/><Relationship Id="rId19" Type="http://schemas.openxmlformats.org/officeDocument/2006/relationships/hyperlink" Target="http://www.sec.gov/cgi-bin/browse-edgar?action=getcompany&amp;CIK=0001737657" TargetMode="External"/><Relationship Id="rId20" Type="http://schemas.openxmlformats.org/officeDocument/2006/relationships/hyperlink" Target="http://www.sec.gov/cgi-bin/browse-edgar?action=getcompany&amp;CIK=0001737652"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2026-06-04T17:59:39Z</dcterms:created>
  <dcterms:modified xsi:type="dcterms:W3CDTF">2026-06-04T17:59:39Z</dcterms:modified>
</cp:coreProperties>
</file>