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6998335" cy="882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9675"/>
                    </a:xfrm>
                    <a:prstGeom prst="rect">
                      <a:avLst/>
                    </a:prstGeom>
                    <a:noFill/>
                  </pic:spPr>
                </pic:pic>
              </a:graphicData>
            </a:graphic>
          </wp:anchor>
        </w:drawing>
      </w:r>
    </w:p>
    <w:p>
      <w:pPr>
        <w:spacing w:after="0" w:line="1021" w:lineRule="exact"/>
        <w:rPr>
          <w:sz w:val="24"/>
          <w:szCs w:val="24"/>
          <w:color w:val="auto"/>
        </w:rPr>
      </w:pPr>
    </w:p>
    <w:p>
      <w:pPr>
        <w:sectPr>
          <w:pgSz w:w="11900" w:h="16838" w:orient="portrait"/>
          <w:cols w:equalWidth="0" w:num="2">
            <w:col w:w="2300" w:space="380"/>
            <w:col w:w="8300"/>
          </w:cols>
          <w:pgMar w:left="460" w:top="214" w:right="459" w:bottom="549"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4"/>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IV, L.P.</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4"/>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restart"/>
          </w:tcPr>
          <w:p>
            <w:pPr>
              <w:ind w:left="280"/>
              <w:spacing w:after="0"/>
              <w:rPr>
                <w:sz w:val="20"/>
                <w:szCs w:val="20"/>
                <w:color w:val="auto"/>
              </w:rPr>
            </w:pPr>
            <w:r>
              <w:rPr>
                <w:rFonts w:ascii="Arial" w:cs="Arial" w:eastAsia="Arial" w:hAnsi="Arial"/>
                <w:sz w:val="12"/>
                <w:szCs w:val="12"/>
                <w:color w:val="auto"/>
              </w:rPr>
              <w:t>Director</w:t>
            </w:r>
          </w:p>
        </w:tc>
        <w:tc>
          <w:tcPr>
            <w:tcW w:w="1820" w:type="dxa"/>
            <w:vAlign w:val="bottom"/>
            <w:gridSpan w:val="3"/>
            <w:vMerge w:val="restart"/>
          </w:tcPr>
          <w:p>
            <w:pPr>
              <w:ind w:left="6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vMerge w:val="restart"/>
          </w:tcPr>
          <w:p>
            <w:pPr>
              <w:ind w:left="280"/>
              <w:spacing w:after="0"/>
              <w:rPr>
                <w:sz w:val="20"/>
                <w:szCs w:val="20"/>
                <w:color w:val="auto"/>
              </w:rPr>
            </w:pPr>
            <w:r>
              <w:rPr>
                <w:rFonts w:ascii="Arial" w:cs="Arial" w:eastAsia="Arial" w:hAnsi="Arial"/>
                <w:sz w:val="12"/>
                <w:szCs w:val="12"/>
                <w:color w:val="auto"/>
              </w:rPr>
              <w:t>Officer (give title</w:t>
            </w:r>
          </w:p>
        </w:tc>
        <w:tc>
          <w:tcPr>
            <w:tcW w:w="1820" w:type="dxa"/>
            <w:vAlign w:val="bottom"/>
            <w:gridSpan w:val="3"/>
            <w:vMerge w:val="restart"/>
          </w:tcPr>
          <w:p>
            <w:pPr>
              <w:ind w:left="6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vMerge w:val="restart"/>
          </w:tcPr>
          <w:p>
            <w:pPr>
              <w:ind w:left="280"/>
              <w:spacing w:after="0"/>
              <w:rPr>
                <w:sz w:val="20"/>
                <w:szCs w:val="20"/>
                <w:color w:val="auto"/>
              </w:rPr>
            </w:pPr>
            <w:r>
              <w:rPr>
                <w:rFonts w:ascii="Arial" w:cs="Arial" w:eastAsia="Arial" w:hAnsi="Arial"/>
                <w:sz w:val="12"/>
                <w:szCs w:val="12"/>
                <w:color w:val="auto"/>
              </w:rPr>
              <w:t>below)</w:t>
            </w:r>
          </w:p>
        </w:tc>
        <w:tc>
          <w:tcPr>
            <w:tcW w:w="1820" w:type="dxa"/>
            <w:vAlign w:val="bottom"/>
            <w:gridSpan w:val="3"/>
            <w:vMerge w:val="restart"/>
          </w:tcPr>
          <w:p>
            <w:pPr>
              <w:ind w:left="6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vMerge w:val="restart"/>
          </w:tcPr>
          <w:p>
            <w:pPr>
              <w:ind w:left="100"/>
              <w:spacing w:after="0"/>
              <w:rPr>
                <w:sz w:val="20"/>
                <w:szCs w:val="20"/>
                <w:color w:val="auto"/>
              </w:rPr>
            </w:pPr>
            <w:r>
              <w:rPr>
                <w:rFonts w:ascii="Arial" w:cs="Arial" w:eastAsia="Arial" w:hAnsi="Arial"/>
                <w:sz w:val="12"/>
                <w:szCs w:val="12"/>
                <w:color w:val="auto"/>
              </w:rPr>
              <w:t>(First)</w:t>
            </w:r>
          </w:p>
        </w:tc>
        <w:tc>
          <w:tcPr>
            <w:tcW w:w="1380" w:type="dxa"/>
            <w:vAlign w:val="bottom"/>
            <w:gridSpan w:val="3"/>
            <w:vMerge w:val="restart"/>
          </w:tcPr>
          <w:p>
            <w:pPr>
              <w:ind w:left="40"/>
              <w:spacing w:after="0"/>
              <w:rPr>
                <w:sz w:val="20"/>
                <w:szCs w:val="20"/>
                <w:color w:val="auto"/>
              </w:rPr>
            </w:pPr>
            <w:r>
              <w:rPr>
                <w:rFonts w:ascii="Arial" w:cs="Arial" w:eastAsia="Arial" w:hAnsi="Arial"/>
                <w:sz w:val="12"/>
                <w:szCs w:val="12"/>
                <w:color w:val="auto"/>
              </w:rPr>
              <w:t>(Middle)</w:t>
            </w:r>
          </w:p>
        </w:tc>
        <w:tc>
          <w:tcPr>
            <w:tcW w:w="2760" w:type="dxa"/>
            <w:vAlign w:val="bottom"/>
            <w:gridSpan w:val="4"/>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06/02/2026</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40" w:type="dxa"/>
            <w:vAlign w:val="bottom"/>
            <w:gridSpan w:val="5"/>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2"/>
                <w:szCs w:val="2"/>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40" w:type="dxa"/>
            <w:vAlign w:val="bottom"/>
            <w:gridSpan w:val="5"/>
            <w:vMerge w:val="continue"/>
          </w:tcPr>
          <w:p>
            <w:pPr>
              <w:spacing w:after="0"/>
              <w:rPr>
                <w:sz w:val="13"/>
                <w:szCs w:val="13"/>
                <w:color w:val="auto"/>
              </w:rPr>
            </w:pPr>
          </w:p>
        </w:tc>
        <w:tc>
          <w:tcPr>
            <w:tcW w:w="540" w:type="dxa"/>
            <w:vAlign w:val="bottom"/>
          </w:tcPr>
          <w:p>
            <w:pPr>
              <w:spacing w:after="0"/>
              <w:rPr>
                <w:sz w:val="13"/>
                <w:szCs w:val="13"/>
                <w:color w:val="auto"/>
              </w:rPr>
            </w:pPr>
          </w:p>
        </w:tc>
        <w:tc>
          <w:tcPr>
            <w:tcW w:w="33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gridSpan w:val="4"/>
            <w:vMerge w:val="restart"/>
          </w:tcPr>
          <w:p>
            <w:pPr>
              <w:ind w:left="3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0" w:type="dxa"/>
            <w:vAlign w:val="bottom"/>
            <w:gridSpan w:val="4"/>
            <w:vMerge w:val="restart"/>
          </w:tcPr>
          <w:p>
            <w:pPr>
              <w:ind w:left="3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380" w:type="dxa"/>
            <w:vAlign w:val="bottom"/>
            <w:gridSpan w:val="3"/>
          </w:tcPr>
          <w:p>
            <w:pPr>
              <w:ind w:left="40"/>
              <w:spacing w:after="0"/>
              <w:rPr>
                <w:sz w:val="20"/>
                <w:szCs w:val="20"/>
                <w:color w:val="auto"/>
              </w:rPr>
            </w:pPr>
            <w:r>
              <w:rPr>
                <w:rFonts w:ascii="Arial" w:cs="Arial" w:eastAsia="Arial" w:hAnsi="Arial"/>
                <w:sz w:val="12"/>
                <w:szCs w:val="12"/>
                <w:color w:val="auto"/>
              </w:rPr>
              <w:t>(Zip)</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380" w:type="dxa"/>
            <w:vAlign w:val="bottom"/>
            <w:gridSpan w:val="3"/>
          </w:tcPr>
          <w:p>
            <w:pPr>
              <w:ind w:left="520"/>
              <w:spacing w:after="0"/>
              <w:rPr>
                <w:sz w:val="20"/>
                <w:szCs w:val="20"/>
                <w:color w:val="auto"/>
              </w:rPr>
            </w:pPr>
            <w:r>
              <w:rPr>
                <w:rFonts w:ascii="Arial" w:cs="Arial" w:eastAsia="Arial" w:hAnsi="Arial"/>
                <w:sz w:val="11"/>
                <w:szCs w:val="11"/>
                <w:b w:val="1"/>
                <w:bCs w:val="1"/>
                <w:color w:val="auto"/>
              </w:rPr>
              <w:t>2. Transaction</w:t>
            </w:r>
          </w:p>
        </w:tc>
        <w:tc>
          <w:tcPr>
            <w:tcW w:w="1160" w:type="dxa"/>
            <w:vAlign w:val="bottom"/>
          </w:tcPr>
          <w:p>
            <w:pPr>
              <w:ind w:left="180"/>
              <w:spacing w:after="0"/>
              <w:rPr>
                <w:sz w:val="20"/>
                <w:szCs w:val="20"/>
                <w:color w:val="auto"/>
              </w:rPr>
            </w:pPr>
            <w:r>
              <w:rPr>
                <w:rFonts w:ascii="Arial" w:cs="Arial" w:eastAsia="Arial" w:hAnsi="Arial"/>
                <w:sz w:val="11"/>
                <w:szCs w:val="11"/>
                <w:b w:val="1"/>
                <w:bCs w:val="1"/>
                <w:color w:val="auto"/>
              </w:rPr>
              <w:t>2A. Deemed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116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4"/>
          </w:tcPr>
          <w:p>
            <w:pPr>
              <w:ind w:left="520"/>
              <w:spacing w:after="0" w:line="124" w:lineRule="exact"/>
              <w:rPr>
                <w:sz w:val="20"/>
                <w:szCs w:val="20"/>
                <w:color w:val="auto"/>
              </w:rPr>
            </w:pPr>
            <w:r>
              <w:rPr>
                <w:rFonts w:ascii="Arial" w:cs="Arial" w:eastAsia="Arial" w:hAnsi="Arial"/>
                <w:sz w:val="11"/>
                <w:szCs w:val="11"/>
                <w:b w:val="1"/>
                <w:bCs w:val="1"/>
                <w:color w:val="auto"/>
              </w:rPr>
              <w:t>(Month/Day/Year)  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5"/>
                <w:szCs w:val="5"/>
                <w:color w:val="auto"/>
              </w:rPr>
            </w:pPr>
          </w:p>
        </w:tc>
        <w:tc>
          <w:tcPr>
            <w:tcW w:w="100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213,739</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213,739</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434.07</w:t>
            </w:r>
            <w:r>
              <w:rPr>
                <w:rFonts w:ascii="Times New Roman" w:cs="Times New Roman" w:eastAsia="Times New Roman" w:hAnsi="Times New Roman"/>
                <w:sz w:val="20"/>
                <w:szCs w:val="20"/>
                <w:color w:val="008000"/>
                <w:w w:val="95"/>
                <w:vertAlign w:val="superscript"/>
              </w:rPr>
              <w:t>(10)</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18,118</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195,621</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435.24</w:t>
            </w:r>
            <w:r>
              <w:rPr>
                <w:rFonts w:ascii="Times New Roman" w:cs="Times New Roman" w:eastAsia="Times New Roman" w:hAnsi="Times New Roman"/>
                <w:sz w:val="20"/>
                <w:szCs w:val="20"/>
                <w:color w:val="008000"/>
                <w:w w:val="93"/>
                <w:vertAlign w:val="superscript"/>
              </w:rPr>
              <w:t>(11)</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56,381</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139,240</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436.14</w:t>
            </w:r>
            <w:r>
              <w:rPr>
                <w:rFonts w:ascii="Times New Roman" w:cs="Times New Roman" w:eastAsia="Times New Roman" w:hAnsi="Times New Roman"/>
                <w:sz w:val="20"/>
                <w:szCs w:val="20"/>
                <w:color w:val="008000"/>
                <w:w w:val="95"/>
                <w:vertAlign w:val="superscript"/>
              </w:rPr>
              <w:t>(12)</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13,162</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126,078</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437.12</w:t>
            </w:r>
            <w:r>
              <w:rPr>
                <w:rFonts w:ascii="Times New Roman" w:cs="Times New Roman" w:eastAsia="Times New Roman" w:hAnsi="Times New Roman"/>
                <w:sz w:val="20"/>
                <w:szCs w:val="20"/>
                <w:color w:val="008000"/>
                <w:w w:val="95"/>
                <w:vertAlign w:val="superscript"/>
              </w:rPr>
              <w:t>(13)</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10,581</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115,497</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438.06</w:t>
            </w:r>
            <w:r>
              <w:rPr>
                <w:rFonts w:ascii="Times New Roman" w:cs="Times New Roman" w:eastAsia="Times New Roman" w:hAnsi="Times New Roman"/>
                <w:sz w:val="20"/>
                <w:szCs w:val="20"/>
                <w:color w:val="008000"/>
                <w:w w:val="95"/>
                <w:vertAlign w:val="superscript"/>
              </w:rPr>
              <w:t>(14)</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15,240</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100,256</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439.13</w:t>
            </w:r>
            <w:r>
              <w:rPr>
                <w:rFonts w:ascii="Times New Roman" w:cs="Times New Roman" w:eastAsia="Times New Roman" w:hAnsi="Times New Roman"/>
                <w:sz w:val="20"/>
                <w:szCs w:val="20"/>
                <w:color w:val="008000"/>
                <w:w w:val="95"/>
                <w:vertAlign w:val="superscript"/>
              </w:rPr>
              <w:t>(15)</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6,213</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94,043</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439.99</w:t>
            </w:r>
            <w:r>
              <w:rPr>
                <w:rFonts w:ascii="Times New Roman" w:cs="Times New Roman" w:eastAsia="Times New Roman" w:hAnsi="Times New Roman"/>
                <w:sz w:val="20"/>
                <w:szCs w:val="20"/>
                <w:color w:val="008000"/>
                <w:w w:val="95"/>
                <w:vertAlign w:val="superscript"/>
              </w:rPr>
              <w:t>(16)</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3,667</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90,377</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12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1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4" w:right="459" w:bottom="54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335"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8335" cy="10527030"/>
                    </a:xfrm>
                    <a:prstGeom prst="rect">
                      <a:avLst/>
                    </a:prstGeom>
                    <a:noFill/>
                  </pic:spPr>
                </pic:pic>
              </a:graphicData>
            </a:graphic>
          </wp:anchor>
        </w:drawing>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68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68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3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8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441.13</w:t>
            </w:r>
            <w:r>
              <w:rPr>
                <w:rFonts w:ascii="Times New Roman" w:cs="Times New Roman" w:eastAsia="Times New Roman" w:hAnsi="Times New Roman"/>
                <w:sz w:val="20"/>
                <w:szCs w:val="20"/>
                <w:color w:val="008000"/>
                <w:vertAlign w:val="superscript"/>
              </w:rPr>
              <w:t>(17)</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4,117</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86,259</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442.24</w:t>
            </w:r>
            <w:r>
              <w:rPr>
                <w:rFonts w:ascii="Times New Roman" w:cs="Times New Roman" w:eastAsia="Times New Roman" w:hAnsi="Times New Roman"/>
                <w:sz w:val="20"/>
                <w:szCs w:val="20"/>
                <w:color w:val="008000"/>
                <w:vertAlign w:val="superscript"/>
              </w:rPr>
              <w:t>(18)</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5,444</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80,816</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443.09</w:t>
            </w:r>
            <w:r>
              <w:rPr>
                <w:rFonts w:ascii="Times New Roman" w:cs="Times New Roman" w:eastAsia="Times New Roman" w:hAnsi="Times New Roman"/>
                <w:sz w:val="20"/>
                <w:szCs w:val="20"/>
                <w:color w:val="008000"/>
                <w:vertAlign w:val="superscript"/>
              </w:rPr>
              <w:t>(19)</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8,610</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72,205</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444.06</w:t>
            </w:r>
            <w:r>
              <w:rPr>
                <w:rFonts w:ascii="Times New Roman" w:cs="Times New Roman" w:eastAsia="Times New Roman" w:hAnsi="Times New Roman"/>
                <w:sz w:val="20"/>
                <w:szCs w:val="20"/>
                <w:color w:val="008000"/>
                <w:vertAlign w:val="superscript"/>
              </w:rPr>
              <w:t>(20)</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5,862</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66,343</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445.25</w:t>
            </w:r>
            <w:r>
              <w:rPr>
                <w:rFonts w:ascii="Times New Roman" w:cs="Times New Roman" w:eastAsia="Times New Roman" w:hAnsi="Times New Roman"/>
                <w:sz w:val="20"/>
                <w:szCs w:val="20"/>
                <w:color w:val="008000"/>
                <w:vertAlign w:val="superscript"/>
              </w:rPr>
              <w:t>(21)</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5,168</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61,175</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446.17</w:t>
            </w:r>
            <w:r>
              <w:rPr>
                <w:rFonts w:ascii="Times New Roman" w:cs="Times New Roman" w:eastAsia="Times New Roman" w:hAnsi="Times New Roman"/>
                <w:sz w:val="20"/>
                <w:szCs w:val="20"/>
                <w:color w:val="008000"/>
                <w:vertAlign w:val="superscript"/>
              </w:rPr>
              <w:t>(22)</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8,234</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52,941</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447.03</w:t>
            </w:r>
            <w:r>
              <w:rPr>
                <w:rFonts w:ascii="Times New Roman" w:cs="Times New Roman" w:eastAsia="Times New Roman" w:hAnsi="Times New Roman"/>
                <w:sz w:val="20"/>
                <w:szCs w:val="20"/>
                <w:color w:val="008000"/>
                <w:vertAlign w:val="superscript"/>
              </w:rPr>
              <w:t>(23)</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6,202</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46,739</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447.94</w:t>
            </w:r>
            <w:r>
              <w:rPr>
                <w:rFonts w:ascii="Times New Roman" w:cs="Times New Roman" w:eastAsia="Times New Roman" w:hAnsi="Times New Roman"/>
                <w:sz w:val="20"/>
                <w:szCs w:val="20"/>
                <w:color w:val="008000"/>
                <w:vertAlign w:val="superscript"/>
              </w:rPr>
              <w:t>(24)</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431</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46,308</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450.62</w:t>
            </w:r>
            <w:r>
              <w:rPr>
                <w:rFonts w:ascii="Times New Roman" w:cs="Times New Roman" w:eastAsia="Times New Roman" w:hAnsi="Times New Roman"/>
                <w:sz w:val="20"/>
                <w:szCs w:val="20"/>
                <w:color w:val="008000"/>
                <w:vertAlign w:val="superscript"/>
              </w:rPr>
              <w:t>(25)</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3,941</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42,367</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451.51</w:t>
            </w:r>
            <w:r>
              <w:rPr>
                <w:rFonts w:ascii="Times New Roman" w:cs="Times New Roman" w:eastAsia="Times New Roman" w:hAnsi="Times New Roman"/>
                <w:sz w:val="20"/>
                <w:szCs w:val="20"/>
                <w:color w:val="008000"/>
                <w:vertAlign w:val="superscript"/>
              </w:rPr>
              <w:t>(26)</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2,461</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39,906</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452.43</w:t>
            </w:r>
            <w:r>
              <w:rPr>
                <w:rFonts w:ascii="Times New Roman" w:cs="Times New Roman" w:eastAsia="Times New Roman" w:hAnsi="Times New Roman"/>
                <w:sz w:val="20"/>
                <w:szCs w:val="20"/>
                <w:color w:val="008000"/>
                <w:vertAlign w:val="superscript"/>
              </w:rPr>
              <w:t>(27)</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2,160</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37,746</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453.77</w:t>
            </w:r>
            <w:r>
              <w:rPr>
                <w:rFonts w:ascii="Times New Roman" w:cs="Times New Roman" w:eastAsia="Times New Roman" w:hAnsi="Times New Roman"/>
                <w:sz w:val="20"/>
                <w:szCs w:val="20"/>
                <w:color w:val="008000"/>
                <w:vertAlign w:val="superscript"/>
              </w:rPr>
              <w:t>(28)</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06/02/2026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762</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continue"/>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36,984</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w w:val="99"/>
              </w:rPr>
              <w:t>4,891</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tc>
        <w:tc>
          <w:tcPr>
            <w:tcW w:w="0" w:type="dxa"/>
            <w:vAlign w:val="bottom"/>
          </w:tcPr>
          <w:p>
            <w:pPr>
              <w:spacing w:after="0"/>
              <w:rPr>
                <w:sz w:val="1"/>
                <w:szCs w:val="1"/>
                <w:color w:val="auto"/>
              </w:rPr>
            </w:pPr>
          </w:p>
        </w:tc>
      </w:tr>
      <w:tr>
        <w:trPr>
          <w:trHeight w:val="235"/>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4,277</w:t>
            </w: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3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1"/>
        </w:trPr>
        <w:tc>
          <w:tcPr>
            <w:tcW w:w="2360" w:type="dxa"/>
            <w:vAlign w:val="bottom"/>
            <w:tcBorders>
              <w:bottom w:val="single" w:sz="8" w:color="808080"/>
            </w:tcBorders>
          </w:tcPr>
          <w:p>
            <w:pPr>
              <w:spacing w:after="0"/>
              <w:rPr>
                <w:sz w:val="13"/>
                <w:szCs w:val="13"/>
                <w:color w:val="auto"/>
              </w:rPr>
            </w:pPr>
          </w:p>
        </w:tc>
        <w:tc>
          <w:tcPr>
            <w:tcW w:w="2180" w:type="dxa"/>
            <w:vAlign w:val="bottom"/>
            <w:tcBorders>
              <w:bottom w:val="single" w:sz="8" w:color="808080"/>
            </w:tcBorders>
          </w:tcPr>
          <w:p>
            <w:pPr>
              <w:spacing w:after="0"/>
              <w:rPr>
                <w:sz w:val="13"/>
                <w:szCs w:val="13"/>
                <w:color w:val="auto"/>
              </w:rPr>
            </w:pPr>
          </w:p>
        </w:tc>
        <w:tc>
          <w:tcPr>
            <w:tcW w:w="11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188" w:right="479" w:bottom="0"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335"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8335" cy="10527030"/>
                    </a:xfrm>
                    <a:prstGeom prst="rect">
                      <a:avLst/>
                    </a:prstGeom>
                    <a:noFill/>
                  </pic:spPr>
                </pic:pic>
              </a:graphicData>
            </a:graphic>
          </wp:anchor>
        </w:drawing>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00" w:type="dxa"/>
            <w:vAlign w:val="bottom"/>
            <w:gridSpan w:val="3"/>
          </w:tcPr>
          <w:p>
            <w:pPr>
              <w:ind w:left="5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6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60"/>
              <w:spacing w:after="0" w:line="124"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3"/>
          </w:tcPr>
          <w:p>
            <w:pPr>
              <w:ind w:left="540"/>
              <w:spacing w:after="0" w:line="124" w:lineRule="exact"/>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60"/>
              <w:spacing w:after="0" w:line="124"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(Instr. 3 and 4)</w:t>
            </w: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vMerge w:val="restart"/>
          </w:tcPr>
          <w:p>
            <w:pPr>
              <w:jc w:val="center"/>
              <w:ind w:left="197"/>
              <w:spacing w:after="0"/>
              <w:rPr>
                <w:sz w:val="20"/>
                <w:szCs w:val="20"/>
                <w:color w:val="auto"/>
              </w:rPr>
            </w:pPr>
            <w:r>
              <w:rPr>
                <w:rFonts w:ascii="Times New Roman" w:cs="Times New Roman" w:eastAsia="Times New Roman" w:hAnsi="Times New Roman"/>
                <w:sz w:val="16"/>
                <w:szCs w:val="16"/>
                <w:color w:val="0000FF"/>
                <w:w w:val="99"/>
              </w:rPr>
              <w:t>129,705</w:t>
            </w:r>
          </w:p>
        </w:tc>
        <w:tc>
          <w:tcPr>
            <w:tcW w:w="84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tcBorders>
              <w:top w:val="single" w:sz="8" w:color="2C2C2C"/>
            </w:tcBorders>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gridSpan w:val="2"/>
            <w:vMerge w:val="restart"/>
          </w:tcPr>
          <w:p>
            <w:pPr>
              <w:jc w:val="center"/>
              <w:ind w:left="197"/>
              <w:spacing w:after="0"/>
              <w:rPr>
                <w:sz w:val="20"/>
                <w:szCs w:val="20"/>
                <w:color w:val="auto"/>
              </w:rPr>
            </w:pPr>
            <w:r>
              <w:rPr>
                <w:rFonts w:ascii="Times New Roman" w:cs="Times New Roman" w:eastAsia="Times New Roman" w:hAnsi="Times New Roman"/>
                <w:sz w:val="16"/>
                <w:szCs w:val="16"/>
                <w:color w:val="0000FF"/>
                <w:w w:val="99"/>
              </w:rPr>
              <w:t>46,753</w:t>
            </w:r>
          </w:p>
        </w:tc>
        <w:tc>
          <w:tcPr>
            <w:tcW w:w="840" w:type="dxa"/>
            <w:vAlign w:val="bottom"/>
            <w:tcBorders>
              <w:top w:val="single" w:sz="8" w:color="2C2C2C"/>
            </w:tcBorders>
            <w:vMerge w:val="restart"/>
          </w:tcPr>
          <w:p>
            <w:pPr>
              <w:ind w:left="72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tcBorders>
              <w:top w:val="single" w:sz="8" w:color="2C2C2C"/>
            </w:tcBorders>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gridSpan w:val="2"/>
            <w:vMerge w:val="restart"/>
          </w:tcPr>
          <w:p>
            <w:pPr>
              <w:jc w:val="center"/>
              <w:ind w:left="197"/>
              <w:spacing w:after="0"/>
              <w:rPr>
                <w:sz w:val="20"/>
                <w:szCs w:val="20"/>
                <w:color w:val="auto"/>
              </w:rPr>
            </w:pPr>
            <w:r>
              <w:rPr>
                <w:rFonts w:ascii="Times New Roman" w:cs="Times New Roman" w:eastAsia="Times New Roman" w:hAnsi="Times New Roman"/>
                <w:sz w:val="16"/>
                <w:szCs w:val="16"/>
                <w:color w:val="0000FF"/>
                <w:w w:val="99"/>
              </w:rPr>
              <w:t>79,906</w:t>
            </w:r>
          </w:p>
        </w:tc>
        <w:tc>
          <w:tcPr>
            <w:tcW w:w="840" w:type="dxa"/>
            <w:vAlign w:val="bottom"/>
            <w:tcBorders>
              <w:top w:val="single" w:sz="8" w:color="2C2C2C"/>
            </w:tcBorders>
            <w:vMerge w:val="restart"/>
          </w:tcPr>
          <w:p>
            <w:pPr>
              <w:ind w:left="72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20"/>
              <w:spacing w:after="0" w:line="137" w:lineRule="exact"/>
              <w:rPr>
                <w:sz w:val="20"/>
                <w:szCs w:val="20"/>
                <w:color w:val="auto"/>
              </w:rPr>
            </w:pPr>
            <w:r>
              <w:rPr>
                <w:rFonts w:ascii="Times New Roman" w:cs="Times New Roman" w:eastAsia="Times New Roman" w:hAnsi="Times New Roman"/>
                <w:sz w:val="12"/>
                <w:szCs w:val="12"/>
                <w:color w:val="0000FF"/>
              </w:rPr>
              <w:t>Class C</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213,739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right w:val="single" w:sz="8" w:color="2C2C2C"/>
            </w:tcBorders>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92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0000FF"/>
              </w:rPr>
              <w:t>06/02/2026</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0000FF"/>
                <w:w w:val="97"/>
              </w:rPr>
              <w:t>213,739</w:t>
            </w:r>
          </w:p>
        </w:tc>
        <w:tc>
          <w:tcPr>
            <w:tcW w:w="78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18,326,361</w:t>
            </w:r>
          </w:p>
        </w:tc>
        <w:tc>
          <w:tcPr>
            <w:tcW w:w="400" w:type="dxa"/>
            <w:vAlign w:val="bottom"/>
          </w:tcPr>
          <w:p>
            <w:pPr>
              <w:ind w:left="340"/>
              <w:spacing w:after="0"/>
              <w:rPr>
                <w:sz w:val="20"/>
                <w:szCs w:val="20"/>
                <w:color w:val="auto"/>
              </w:rPr>
            </w:pPr>
            <w:r>
              <w:rPr>
                <w:rFonts w:ascii="Times New Roman" w:cs="Times New Roman" w:eastAsia="Times New Roman" w:hAnsi="Times New Roman"/>
                <w:sz w:val="12"/>
                <w:szCs w:val="12"/>
                <w:color w:val="0000FF"/>
                <w:w w:val="98"/>
              </w:rPr>
              <w:t>I</w:t>
            </w:r>
          </w:p>
        </w:tc>
        <w:tc>
          <w:tcPr>
            <w:tcW w:w="320" w:type="dxa"/>
            <w:vAlign w:val="bottom"/>
          </w:tcPr>
          <w:p>
            <w:pPr>
              <w:spacing w:after="0"/>
              <w:rPr>
                <w:sz w:val="12"/>
                <w:szCs w:val="12"/>
                <w:color w:val="auto"/>
              </w:rPr>
            </w:pPr>
          </w:p>
        </w:tc>
        <w:tc>
          <w:tcPr>
            <w:tcW w:w="7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Times New Roman" w:cs="Times New Roman" w:eastAsia="Times New Roman" w:hAnsi="Times New Roman"/>
                <w:sz w:val="12"/>
                <w:szCs w:val="12"/>
                <w:color w:val="0000FF"/>
              </w:rPr>
              <w:t>Partners IV,</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right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Class C</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28,163,649</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ind w:left="8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restart"/>
          </w:tcPr>
          <w:p>
            <w:pPr>
              <w:ind w:left="120"/>
              <w:spacing w:after="0" w:line="100" w:lineRule="exact"/>
              <w:rPr>
                <w:sz w:val="20"/>
                <w:szCs w:val="20"/>
                <w:color w:val="auto"/>
              </w:rPr>
            </w:pPr>
            <w:r>
              <w:rPr>
                <w:rFonts w:ascii="Times New Roman" w:cs="Times New Roman" w:eastAsia="Times New Roman" w:hAnsi="Times New Roman"/>
                <w:sz w:val="11"/>
                <w:szCs w:val="11"/>
                <w:color w:val="0000FF"/>
              </w:rPr>
              <w:t>28,163,649</w:t>
            </w:r>
          </w:p>
        </w:tc>
        <w:tc>
          <w:tcPr>
            <w:tcW w:w="4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IV, L.P.</w:t>
              </w:r>
            </w:hyperlink>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bottom w:val="single" w:sz="8" w:color="0000EE"/>
            </w:tcBorders>
            <w:gridSpan w:val="8"/>
          </w:tcPr>
          <w:p>
            <w:pPr>
              <w:spacing w:after="0" w:line="211" w:lineRule="exact"/>
              <w:rPr>
                <w:rFonts w:ascii="Times New Roman" w:cs="Times New Roman" w:eastAsia="Times New Roman" w:hAnsi="Times New Roman"/>
                <w:sz w:val="20"/>
                <w:szCs w:val="20"/>
                <w:color w:val="0000EE"/>
                <w:w w:val="96"/>
              </w:rPr>
            </w:pPr>
            <w:hyperlink r:id="rId17">
              <w:r>
                <w:rPr>
                  <w:rFonts w:ascii="Times New Roman" w:cs="Times New Roman" w:eastAsia="Times New Roman" w:hAnsi="Times New Roman"/>
                  <w:sz w:val="20"/>
                  <w:szCs w:val="20"/>
                  <w:color w:val="0000EE"/>
                  <w:w w:val="96"/>
                </w:rPr>
                <w:t>Silver Lake Technology Associates IV, L.P.</w:t>
              </w:r>
            </w:hyperlink>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1"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SLTA IV (GP), L.L.C.</w:t>
              </w:r>
            </w:hyperlink>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1"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Silver Lake Group, L.L.C.</w:t>
              </w:r>
            </w:hyperlink>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-8569325</wp:posOffset>
            </wp:positionV>
            <wp:extent cx="28575" cy="2152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575" cy="2152650"/>
                    </a:xfrm>
                    <a:prstGeom prst="rect">
                      <a:avLst/>
                    </a:prstGeom>
                    <a:noFill/>
                  </pic:spPr>
                </pic:pic>
              </a:graphicData>
            </a:graphic>
          </wp:anchor>
        </w:drawing>
      </w:r>
    </w:p>
    <w:p>
      <w:pPr>
        <w:sectPr>
          <w:pgSz w:w="11900" w:h="16838" w:orient="portrait"/>
          <w:cols w:equalWidth="0" w:num="1">
            <w:col w:w="11080"/>
          </w:cols>
          <w:pgMar w:left="460" w:top="188" w:right="3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7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1"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-1758315</wp:posOffset>
            </wp:positionV>
            <wp:extent cx="2814955" cy="1832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4955" cy="1832610"/>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jc w:val="both"/>
        <w:ind w:left="20" w:right="120" w:hanging="4"/>
        <w:spacing w:after="0" w:line="257"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2, 2026 and initiated in-kind distributions of shares of Class C Common Stock on June 2, 2026. The receipt of shares of Class C Common Stock by each of the Reporting Persons in connection with such distributions was exempt from reporting pursuant to Rule 16a-13 of the Exchange Act.</w:t>
      </w:r>
    </w:p>
    <w:p>
      <w:pPr>
        <w:spacing w:after="0" w:line="15" w:lineRule="exact"/>
        <w:rPr>
          <w:rFonts w:ascii="Times New Roman" w:cs="Times New Roman" w:eastAsia="Times New Roman" w:hAnsi="Times New Roman"/>
          <w:sz w:val="12"/>
          <w:szCs w:val="12"/>
          <w:color w:val="008000"/>
        </w:rPr>
      </w:pPr>
    </w:p>
    <w:p>
      <w:pPr>
        <w:ind w:left="20" w:right="100" w:hanging="4"/>
        <w:spacing w:after="0" w:line="257"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2, 2026, certain of the Reporting Persons converted shares of Class B Common Stock into an equal number of shares of Class C Common Stock in connection with the sales and distributions described in footnote (1) above.</w:t>
      </w:r>
    </w:p>
    <w:p>
      <w:pPr>
        <w:spacing w:after="0" w:line="1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spacing w:after="0" w:line="5" w:lineRule="exact"/>
        <w:rPr>
          <w:rFonts w:ascii="Times New Roman" w:cs="Times New Roman" w:eastAsia="Times New Roman" w:hAnsi="Times New Roman"/>
          <w:sz w:val="12"/>
          <w:szCs w:val="12"/>
          <w:color w:val="008000"/>
        </w:rPr>
      </w:pPr>
    </w:p>
    <w:p>
      <w:pPr>
        <w:ind w:left="20" w:right="38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5" w:lineRule="exact"/>
        <w:rPr>
          <w:rFonts w:ascii="Times New Roman" w:cs="Times New Roman" w:eastAsia="Times New Roman" w:hAnsi="Times New Roman"/>
          <w:sz w:val="12"/>
          <w:szCs w:val="12"/>
          <w:color w:val="008000"/>
        </w:rPr>
      </w:pPr>
    </w:p>
    <w:p>
      <w:pPr>
        <w:ind w:left="20" w:right="2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2, 2026. The receipt of such shares of Class C Common Stock was exempt from reporting pursuant to Rule 16a-13 of the Exchange Act.</w:t>
      </w:r>
    </w:p>
    <w:p>
      <w:pPr>
        <w:spacing w:after="0" w:line="5" w:lineRule="exact"/>
        <w:rPr>
          <w:rFonts w:ascii="Times New Roman" w:cs="Times New Roman" w:eastAsia="Times New Roman" w:hAnsi="Times New Roman"/>
          <w:sz w:val="12"/>
          <w:szCs w:val="12"/>
          <w:color w:val="008000"/>
        </w:rPr>
      </w:pPr>
    </w:p>
    <w:p>
      <w:pPr>
        <w:ind w:left="20" w:right="8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2, 2026. The receipt of such shares of Class C Common Stock indirectly by Mr. Durban was exempt from reporting pursuant to Rule 16a-13 of the Exchange Act.</w:t>
      </w:r>
    </w:p>
    <w:p>
      <w:pPr>
        <w:spacing w:after="0" w:line="5" w:lineRule="exact"/>
        <w:rPr>
          <w:rFonts w:ascii="Times New Roman" w:cs="Times New Roman" w:eastAsia="Times New Roman" w:hAnsi="Times New Roman"/>
          <w:sz w:val="12"/>
          <w:szCs w:val="12"/>
          <w:color w:val="008000"/>
        </w:rPr>
      </w:pPr>
    </w:p>
    <w:p>
      <w:pPr>
        <w:ind w:left="20" w:right="180" w:hanging="4"/>
        <w:spacing w:after="0" w:line="257"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14,785 and 90,357 shares held by SLTA SPV-2, L.P., Silver Lake Technology Associates V, L.P. and SLG, respectively, on behalf of such individuals, including shares distributed in the June 2, 2026 distributions. The receipt of such shares of Class C Common Stock was exempt from reporting pursuant to Rule 16a-13 of the Exchange Act.</w:t>
      </w:r>
    </w:p>
    <w:p>
      <w:pPr>
        <w:spacing w:after="0" w:line="1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RESERVED</w:t>
      </w:r>
    </w:p>
    <w:p>
      <w:pPr>
        <w:spacing w:after="0" w:line="48" w:lineRule="exact"/>
        <w:rPr>
          <w:rFonts w:ascii="Times New Roman" w:cs="Times New Roman" w:eastAsia="Times New Roman" w:hAnsi="Times New Roman"/>
          <w:sz w:val="12"/>
          <w:szCs w:val="12"/>
          <w:color w:val="008000"/>
        </w:rPr>
      </w:pPr>
    </w:p>
    <w:p>
      <w:pPr>
        <w:ind w:left="20" w:right="20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2, 2026. The receipt of such shares of Class C Common Stock indirectly by Mr. Durban was exempt from reporting pursuant to Rule 16a-13 of the Exchange Act.</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$433.5950 to $434.5300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60" w:hanging="4"/>
        <w:spacing w:after="0" w:line="276" w:lineRule="auto"/>
        <w:tabs>
          <w:tab w:leader="none" w:pos="20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$434.6200 to $435.6017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$435.6200 to $436.6100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$436.6206 to $437.6100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$437.6200 to $438.6100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$438.6200 to $439.6183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$439.6353 to $440.5984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$440.6300 to $441.6180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$441.6600 to $442.6590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$442.6637 to $443.6598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$443.6699 to $444.6332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$444.6656 to $445.6500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$445.6744 to $446.6677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$446.6700 to $447.6527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$447.7301 to $448.0000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$450.0100 to $451.0000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$451.0300 to $452.0000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$452.0400 to $453.0000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4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$453.1800 to $454.0500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jc w:val="both"/>
        <w:ind w:left="20" w:right="40" w:hanging="4"/>
        <w:spacing w:after="0" w:line="257"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0 shares of Class C Common Stock, Silver Lake Partners V DE (AIV), L.P. directly holds 79,906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p>
      <w:pPr>
        <w:spacing w:after="0" w:line="15" w:lineRule="exact"/>
        <w:rPr>
          <w:rFonts w:ascii="Times New Roman" w:cs="Times New Roman" w:eastAsia="Times New Roman" w:hAnsi="Times New Roman"/>
          <w:sz w:val="12"/>
          <w:szCs w:val="12"/>
          <w:color w:val="008000"/>
        </w:rPr>
      </w:pPr>
    </w:p>
    <w:p>
      <w:pPr>
        <w:ind w:left="20" w:hanging="4"/>
        <w:spacing w:after="0" w:line="257"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17,852,378 shares of Class B Common Stock, Silver Lake Partners V DE (AIV), L.P. directly holds 9,920,037 shares of Class B Common Stock, Silver Lake Technology Investors IV, L.P. directly holds 269,641 shares of Class B Common Stock and Silver Lake Technology Investors V, L.P. directly holds 121,593 shares of Class B Common Stock, which securities are reported on separate Form 4 filings.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20" w:right="20"/>
        <w:spacing w:after="0" w:line="250"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-5715</wp:posOffset>
            </wp:positionV>
            <wp:extent cx="9956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2090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1639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0382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member of SLTA IV (GP),</w:t>
      </w:r>
      <w:r>
        <w:rPr>
          <w:sz w:val="20"/>
          <w:szCs w:val="20"/>
          <w:color w:val="auto"/>
        </w:rPr>
        <w:tab/>
      </w: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8611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3195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3220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2090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Lake 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8972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97255" cy="7620"/>
                    </a:xfrm>
                    <a:prstGeom prst="rect">
                      <a:avLst/>
                    </a:prstGeom>
                    <a:noFill/>
                  </pic:spPr>
                </pic:pic>
              </a:graphicData>
            </a:graphic>
          </wp:anchor>
        </w:drawing>
      </w:r>
    </w:p>
    <w:p>
      <w:pPr>
        <w:spacing w:after="0" w:line="23"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By: /s/ Justin G. Hamill,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06/04/2026</w:t>
            </w:r>
          </w:p>
        </w:tc>
      </w:tr>
      <w:tr>
        <w:trPr>
          <w:trHeight w:val="20"/>
        </w:trPr>
        <w:tc>
          <w:tcPr>
            <w:tcW w:w="1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79"/>
        </w:trPr>
        <w:tc>
          <w:tcPr>
            <w:tcW w:w="1900" w:type="dxa"/>
            <w:vAlign w:val="bottom"/>
            <w:tcBorders>
              <w:bottom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0000FF"/>
                <w:w w:val="99"/>
              </w:rPr>
              <w:t>Managing Director and Chief</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ectPr>
          <w:pgSz w:w="11900" w:h="16838" w:orient="portrait"/>
          <w:cols w:equalWidth="0" w:num="1">
            <w:col w:w="10920"/>
          </w:cols>
          <w:pgMar w:left="480" w:top="128" w:right="499" w:bottom="0" w:gutter="0" w:footer="0" w:header="0"/>
        </w:sectPr>
      </w:pPr>
    </w:p>
    <w:bookmarkStart w:id="4" w:name="page5"/>
    <w:bookmarkEnd w:id="4"/>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1639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947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3195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3220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593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5938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947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2705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27051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5829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8293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521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0521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3073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0734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644" w:space="120"/>
            <w:col w:w="1199"/>
          </w:cols>
          <w:pgMar w:left="496" w:top="127" w:right="1440" w:bottom="1440" w:gutter="0" w:footer="0" w:header="0"/>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79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672566" TargetMode="External"/><Relationship Id="rId18" Type="http://schemas.openxmlformats.org/officeDocument/2006/relationships/hyperlink" Target="http://www.sec.gov/cgi-bin/browse-edgar?action=getcompany&amp;CIK=0001672568" TargetMode="External"/><Relationship Id="rId19"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2026-06-04T17:33:09Z</dcterms:created>
  <dcterms:modified xsi:type="dcterms:W3CDTF">2026-06-04T17:33:09Z</dcterms:modified>
</cp:coreProperties>
</file>