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8815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5705"/>
                    </a:xfrm>
                    <a:prstGeom prst="rect">
                      <a:avLst/>
                    </a:prstGeom>
                    <a:noFill/>
                  </pic:spPr>
                </pic:pic>
              </a:graphicData>
            </a:graphic>
          </wp:anchor>
        </w:drawing>
      </w:r>
    </w:p>
    <w:p>
      <w:pPr>
        <w:spacing w:after="0" w:line="1029" w:lineRule="exact"/>
        <w:rPr>
          <w:sz w:val="24"/>
          <w:szCs w:val="24"/>
          <w:color w:val="auto"/>
        </w:rPr>
      </w:pPr>
    </w:p>
    <w:p>
      <w:pPr>
        <w:sectPr>
          <w:pgSz w:w="11900" w:h="16838" w:orient="portrait"/>
          <w:cols w:equalWidth="0" w:num="2">
            <w:col w:w="2320" w:space="360"/>
            <w:col w:w="8300"/>
          </w:cols>
          <w:pgMar w:left="460" w:top="214" w:right="459" w:bottom="37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Silver Lake Partners V DE (AIV), L.P.</w:t>
              </w:r>
            </w:hyperlink>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Dell Technologies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DELL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80" w:type="dxa"/>
            <w:vAlign w:val="bottom"/>
            <w:tcBorders>
              <w:bottom w:val="single" w:sz="8" w:color="0000EE"/>
            </w:tcBorders>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Director</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vMerge w:val="restart"/>
          </w:tcPr>
          <w:p>
            <w:pPr>
              <w:ind w:left="180"/>
              <w:spacing w:after="0"/>
              <w:rPr>
                <w:sz w:val="20"/>
                <w:szCs w:val="20"/>
                <w:color w:val="auto"/>
              </w:rPr>
            </w:pPr>
            <w:r>
              <w:rPr>
                <w:rFonts w:ascii="Arial" w:cs="Arial" w:eastAsia="Arial" w:hAnsi="Arial"/>
                <w:sz w:val="12"/>
                <w:szCs w:val="12"/>
                <w:color w:val="auto"/>
              </w:rPr>
              <w:t>Officer (give title</w:t>
            </w:r>
          </w:p>
        </w:tc>
        <w:tc>
          <w:tcPr>
            <w:tcW w:w="1780" w:type="dxa"/>
            <w:vAlign w:val="bottom"/>
            <w:gridSpan w:val="3"/>
            <w:vMerge w:val="restart"/>
          </w:tcPr>
          <w:p>
            <w:pPr>
              <w:ind w:left="6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(Last)</w:t>
            </w:r>
          </w:p>
        </w:tc>
        <w:tc>
          <w:tcPr>
            <w:tcW w:w="1280" w:type="dxa"/>
            <w:vAlign w:val="bottom"/>
          </w:tcPr>
          <w:p>
            <w:pPr>
              <w:ind w:left="100"/>
              <w:spacing w:after="0"/>
              <w:rPr>
                <w:sz w:val="20"/>
                <w:szCs w:val="20"/>
                <w:color w:val="auto"/>
              </w:rPr>
            </w:pPr>
            <w:r>
              <w:rPr>
                <w:rFonts w:ascii="Arial" w:cs="Arial" w:eastAsia="Arial" w:hAnsi="Arial"/>
                <w:sz w:val="12"/>
                <w:szCs w:val="12"/>
                <w:color w:val="auto"/>
              </w:rPr>
              <w:t>(First)</w:t>
            </w:r>
          </w:p>
        </w:tc>
        <w:tc>
          <w:tcPr>
            <w:tcW w:w="540" w:type="dxa"/>
            <w:vAlign w:val="bottom"/>
          </w:tcPr>
          <w:p>
            <w:pPr>
              <w:ind w:left="40"/>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Arial" w:cs="Arial" w:eastAsia="Arial" w:hAnsi="Arial"/>
                <w:sz w:val="12"/>
                <w:szCs w:val="12"/>
                <w:color w:val="auto"/>
              </w:rPr>
              <w:t>below)</w:t>
            </w:r>
          </w:p>
        </w:tc>
        <w:tc>
          <w:tcPr>
            <w:tcW w:w="1780" w:type="dxa"/>
            <w:vAlign w:val="bottom"/>
            <w:gridSpan w:val="3"/>
          </w:tcPr>
          <w:p>
            <w:pPr>
              <w:ind w:left="6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0000FF"/>
              </w:rPr>
              <w:t>06/10/2026</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12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20" w:type="dxa"/>
            <w:vAlign w:val="bottom"/>
            <w:gridSpan w:val="6"/>
          </w:tcPr>
          <w:p>
            <w:pPr>
              <w:spacing w:after="0"/>
              <w:rPr>
                <w:sz w:val="20"/>
                <w:szCs w:val="20"/>
                <w:color w:val="auto"/>
              </w:rPr>
            </w:pPr>
            <w:r>
              <w:rPr>
                <w:rFonts w:ascii="Arial" w:cs="Arial" w:eastAsia="Arial" w:hAnsi="Arial"/>
                <w:sz w:val="12"/>
                <w:szCs w:val="12"/>
                <w:color w:val="auto"/>
              </w:rPr>
              <w:t>4. If Amendment, Date of Original Filed (Month/Day/Year)</w:t>
            </w:r>
          </w:p>
        </w:tc>
        <w:tc>
          <w:tcPr>
            <w:tcW w:w="460" w:type="dxa"/>
            <w:vAlign w:val="bottom"/>
          </w:tcPr>
          <w:p>
            <w:pPr>
              <w:spacing w:after="0"/>
              <w:rPr>
                <w:sz w:val="13"/>
                <w:szCs w:val="13"/>
                <w:color w:val="auto"/>
              </w:rPr>
            </w:pPr>
          </w:p>
        </w:tc>
        <w:tc>
          <w:tcPr>
            <w:tcW w:w="3300" w:type="dxa"/>
            <w:vAlign w:val="bottom"/>
            <w:gridSpan w:val="5"/>
          </w:tcPr>
          <w:p>
            <w:pPr>
              <w:ind w:left="6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rPr>
              <w:t>Line)</w:t>
            </w: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2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CA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94025</w:t>
            </w: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900" w:type="dxa"/>
            <w:vAlign w:val="bottom"/>
            <w:gridSpan w:val="4"/>
            <w:vMerge w:val="restart"/>
          </w:tcPr>
          <w:p>
            <w:pPr>
              <w:ind w:left="2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9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2"/>
                <w:szCs w:val="12"/>
                <w:color w:val="auto"/>
              </w:rPr>
              <w:t>(City)</w:t>
            </w:r>
          </w:p>
        </w:tc>
        <w:tc>
          <w:tcPr>
            <w:tcW w:w="1280" w:type="dxa"/>
            <w:vAlign w:val="bottom"/>
          </w:tcPr>
          <w:p>
            <w:pPr>
              <w:ind w:left="100"/>
              <w:spacing w:after="0"/>
              <w:rPr>
                <w:sz w:val="20"/>
                <w:szCs w:val="20"/>
                <w:color w:val="auto"/>
              </w:rPr>
            </w:pPr>
            <w:r>
              <w:rPr>
                <w:rFonts w:ascii="Arial" w:cs="Arial" w:eastAsia="Arial" w:hAnsi="Arial"/>
                <w:sz w:val="12"/>
                <w:szCs w:val="12"/>
                <w:color w:val="auto"/>
              </w:rPr>
              <w:t>(State)</w:t>
            </w:r>
          </w:p>
        </w:tc>
        <w:tc>
          <w:tcPr>
            <w:tcW w:w="540" w:type="dxa"/>
            <w:vAlign w:val="bottom"/>
          </w:tcPr>
          <w:p>
            <w:pPr>
              <w:ind w:left="40"/>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1960" w:type="dxa"/>
            <w:vAlign w:val="bottom"/>
            <w:tcBorders>
              <w:bottom w:val="single" w:sz="8" w:color="2C2C2C"/>
            </w:tcBorders>
            <w:gridSpan w:val="4"/>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7960" w:type="dxa"/>
            <w:vAlign w:val="bottom"/>
            <w:tcBorders>
              <w:top w:val="single" w:sz="8" w:color="2C2C2C"/>
            </w:tcBorders>
            <w:gridSpan w:val="15"/>
          </w:tcPr>
          <w:p>
            <w:pPr>
              <w:ind w:left="1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540" w:type="dxa"/>
            <w:vAlign w:val="bottom"/>
          </w:tcPr>
          <w:p>
            <w:pPr>
              <w:spacing w:after="0"/>
              <w:rPr>
                <w:sz w:val="14"/>
                <w:szCs w:val="14"/>
                <w:color w:val="auto"/>
              </w:rPr>
            </w:pPr>
          </w:p>
        </w:tc>
        <w:tc>
          <w:tcPr>
            <w:tcW w:w="1040" w:type="dxa"/>
            <w:vAlign w:val="bottom"/>
            <w:gridSpan w:val="5"/>
          </w:tcPr>
          <w:p>
            <w:pPr>
              <w:ind w:left="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214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900" w:type="dxa"/>
            <w:vAlign w:val="bottom"/>
            <w:gridSpan w:val="2"/>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5"/>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9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5"/>
                <w:szCs w:val="5"/>
                <w:color w:val="auto"/>
              </w:rPr>
            </w:pPr>
          </w:p>
        </w:tc>
        <w:tc>
          <w:tcPr>
            <w:tcW w:w="900" w:type="dxa"/>
            <w:vAlign w:val="bottom"/>
            <w:gridSpan w:val="2"/>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84,538</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89,860</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371.39</w:t>
            </w:r>
            <w:r>
              <w:rPr>
                <w:rFonts w:ascii="Times New Roman" w:cs="Times New Roman" w:eastAsia="Times New Roman" w:hAnsi="Times New Roman"/>
                <w:sz w:val="20"/>
                <w:szCs w:val="20"/>
                <w:color w:val="008000"/>
                <w:w w:val="93"/>
                <w:vertAlign w:val="superscript"/>
              </w:rPr>
              <w:t>(10)</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1,658</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88,202</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372.5</w:t>
            </w:r>
            <w:r>
              <w:rPr>
                <w:rFonts w:ascii="Times New Roman" w:cs="Times New Roman" w:eastAsia="Times New Roman" w:hAnsi="Times New Roman"/>
                <w:sz w:val="20"/>
                <w:szCs w:val="20"/>
                <w:color w:val="008000"/>
                <w:w w:val="92"/>
                <w:vertAlign w:val="superscript"/>
              </w:rPr>
              <w:t>(11)</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2,865</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85,336</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373.38</w:t>
            </w:r>
            <w:r>
              <w:rPr>
                <w:rFonts w:ascii="Times New Roman" w:cs="Times New Roman" w:eastAsia="Times New Roman" w:hAnsi="Times New Roman"/>
                <w:sz w:val="20"/>
                <w:szCs w:val="20"/>
                <w:color w:val="008000"/>
                <w:w w:val="93"/>
                <w:vertAlign w:val="superscript"/>
              </w:rPr>
              <w:t>(12)</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1,489</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83,848</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374.26</w:t>
            </w:r>
            <w:r>
              <w:rPr>
                <w:rFonts w:ascii="Times New Roman" w:cs="Times New Roman" w:eastAsia="Times New Roman" w:hAnsi="Times New Roman"/>
                <w:sz w:val="20"/>
                <w:szCs w:val="20"/>
                <w:color w:val="008000"/>
                <w:w w:val="93"/>
                <w:vertAlign w:val="superscript"/>
              </w:rPr>
              <w:t>(13)</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795</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83,052</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1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375.51</w:t>
            </w:r>
            <w:r>
              <w:rPr>
                <w:rFonts w:ascii="Times New Roman" w:cs="Times New Roman" w:eastAsia="Times New Roman" w:hAnsi="Times New Roman"/>
                <w:sz w:val="20"/>
                <w:szCs w:val="20"/>
                <w:color w:val="008000"/>
                <w:w w:val="93"/>
                <w:vertAlign w:val="superscript"/>
              </w:rPr>
              <w:t>(14)</w:t>
            </w:r>
          </w:p>
        </w:tc>
        <w:tc>
          <w:tcPr>
            <w:tcW w:w="1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tcPr>
          <w:p>
            <w:pPr>
              <w:jc w:val="center"/>
              <w:ind w:right="48"/>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tcPr>
          <w:p>
            <w:pPr>
              <w:jc w:val="center"/>
              <w:ind w:left="7"/>
              <w:spacing w:after="0"/>
              <w:rPr>
                <w:sz w:val="20"/>
                <w:szCs w:val="20"/>
                <w:color w:val="auto"/>
              </w:rPr>
            </w:pPr>
            <w:r>
              <w:rPr>
                <w:rFonts w:ascii="Times New Roman" w:cs="Times New Roman" w:eastAsia="Times New Roman" w:hAnsi="Times New Roman"/>
                <w:sz w:val="16"/>
                <w:szCs w:val="16"/>
                <w:color w:val="0000FF"/>
                <w:w w:val="99"/>
              </w:rPr>
              <w:t>1,842</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gridSpan w:val="2"/>
            <w:vMerge w:val="continue"/>
          </w:tcPr>
          <w:p>
            <w:pPr>
              <w:spacing w:after="0"/>
              <w:rPr>
                <w:sz w:val="17"/>
                <w:szCs w:val="17"/>
                <w:color w:val="auto"/>
              </w:rPr>
            </w:pPr>
          </w:p>
        </w:tc>
        <w:tc>
          <w:tcPr>
            <w:tcW w:w="11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81,210</w:t>
            </w:r>
          </w:p>
        </w:tc>
        <w:tc>
          <w:tcPr>
            <w:tcW w:w="88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I</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6"/>
          <w:szCs w:val="16"/>
          <w:color w:val="0000FF"/>
        </w:rPr>
        <w:t>DE (AIV),</w:t>
      </w:r>
    </w:p>
    <w:p>
      <w:pPr>
        <w:ind w:left="10180"/>
        <w:spacing w:after="0" w:line="187" w:lineRule="auto"/>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9"/>
          <w:szCs w:val="9"/>
          <w:color w:val="008000"/>
        </w:rPr>
        <w:t>(3)(4)</w:t>
      </w:r>
    </w:p>
    <w:p>
      <w:pPr>
        <w:sectPr>
          <w:pgSz w:w="11900" w:h="16838" w:orient="portrait"/>
          <w:cols w:equalWidth="0" w:num="1">
            <w:col w:w="10980"/>
          </w:cols>
          <w:pgMar w:left="460" w:top="214" w:right="459" w:bottom="377" w:gutter="0" w:footer="0" w:header="0"/>
          <w:type w:val="continuous"/>
        </w:sectPr>
      </w:pPr>
    </w:p>
    <w:bookmarkStart w:id="1" w:name="page2"/>
    <w:bookmarkEnd w:id="1"/>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85"/>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376.56</w:t>
            </w:r>
            <w:r>
              <w:rPr>
                <w:rFonts w:ascii="Times New Roman" w:cs="Times New Roman" w:eastAsia="Times New Roman" w:hAnsi="Times New Roman"/>
                <w:sz w:val="20"/>
                <w:szCs w:val="20"/>
                <w:color w:val="008000"/>
                <w:w w:val="93"/>
                <w:vertAlign w:val="superscript"/>
              </w:rPr>
              <w:t>(15)</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1,380</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79,830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377.63</w:t>
            </w:r>
            <w:r>
              <w:rPr>
                <w:rFonts w:ascii="Times New Roman" w:cs="Times New Roman" w:eastAsia="Times New Roman" w:hAnsi="Times New Roman"/>
                <w:sz w:val="20"/>
                <w:szCs w:val="20"/>
                <w:color w:val="008000"/>
                <w:w w:val="93"/>
                <w:vertAlign w:val="superscript"/>
              </w:rPr>
              <w:t>(16)</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1,406</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78,424</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378.81</w:t>
            </w:r>
            <w:r>
              <w:rPr>
                <w:rFonts w:ascii="Times New Roman" w:cs="Times New Roman" w:eastAsia="Times New Roman" w:hAnsi="Times New Roman"/>
                <w:sz w:val="20"/>
                <w:szCs w:val="20"/>
                <w:color w:val="008000"/>
                <w:w w:val="93"/>
                <w:vertAlign w:val="superscript"/>
              </w:rPr>
              <w:t>(17)</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2,949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75,476</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379.46</w:t>
            </w:r>
            <w:r>
              <w:rPr>
                <w:rFonts w:ascii="Times New Roman" w:cs="Times New Roman" w:eastAsia="Times New Roman" w:hAnsi="Times New Roman"/>
                <w:sz w:val="20"/>
                <w:szCs w:val="20"/>
                <w:color w:val="008000"/>
                <w:w w:val="93"/>
                <w:vertAlign w:val="superscript"/>
              </w:rPr>
              <w:t>(18)</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2,166</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73,310</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380.5</w:t>
            </w:r>
            <w:r>
              <w:rPr>
                <w:rFonts w:ascii="Times New Roman" w:cs="Times New Roman" w:eastAsia="Times New Roman" w:hAnsi="Times New Roman"/>
                <w:sz w:val="20"/>
                <w:szCs w:val="20"/>
                <w:color w:val="008000"/>
                <w:w w:val="92"/>
                <w:vertAlign w:val="superscript"/>
              </w:rPr>
              <w:t>(19)</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1,259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72,051</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w:t>
            </w:r>
            <w:r>
              <w:rPr>
                <w:rFonts w:ascii="Times New Roman" w:cs="Times New Roman" w:eastAsia="Times New Roman" w:hAnsi="Times New Roman"/>
                <w:sz w:val="16"/>
                <w:szCs w:val="16"/>
                <w:color w:val="0000FF"/>
                <w:w w:val="92"/>
              </w:rPr>
              <w:t>381.8</w:t>
            </w:r>
            <w:r>
              <w:rPr>
                <w:rFonts w:ascii="Times New Roman" w:cs="Times New Roman" w:eastAsia="Times New Roman" w:hAnsi="Times New Roman"/>
                <w:sz w:val="20"/>
                <w:szCs w:val="20"/>
                <w:color w:val="008000"/>
                <w:w w:val="92"/>
                <w:vertAlign w:val="superscript"/>
              </w:rPr>
              <w:t>(20)</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2,675</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69,376</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382.82</w:t>
            </w:r>
            <w:r>
              <w:rPr>
                <w:rFonts w:ascii="Times New Roman" w:cs="Times New Roman" w:eastAsia="Times New Roman" w:hAnsi="Times New Roman"/>
                <w:sz w:val="20"/>
                <w:szCs w:val="20"/>
                <w:color w:val="008000"/>
                <w:w w:val="93"/>
                <w:vertAlign w:val="superscript"/>
              </w:rPr>
              <w:t>(21)</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2,141</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67,235</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383.73</w:t>
            </w:r>
            <w:r>
              <w:rPr>
                <w:rFonts w:ascii="Times New Roman" w:cs="Times New Roman" w:eastAsia="Times New Roman" w:hAnsi="Times New Roman"/>
                <w:sz w:val="20"/>
                <w:szCs w:val="20"/>
                <w:color w:val="008000"/>
                <w:w w:val="93"/>
                <w:vertAlign w:val="superscript"/>
              </w:rPr>
              <w:t>(22)</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3,270</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63,965</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384.71</w:t>
            </w:r>
            <w:r>
              <w:rPr>
                <w:rFonts w:ascii="Times New Roman" w:cs="Times New Roman" w:eastAsia="Times New Roman" w:hAnsi="Times New Roman"/>
                <w:sz w:val="20"/>
                <w:szCs w:val="20"/>
                <w:color w:val="008000"/>
                <w:w w:val="93"/>
                <w:vertAlign w:val="superscript"/>
              </w:rPr>
              <w:t>(23)</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3,934</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60,031</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385.57</w:t>
            </w:r>
            <w:r>
              <w:rPr>
                <w:rFonts w:ascii="Times New Roman" w:cs="Times New Roman" w:eastAsia="Times New Roman" w:hAnsi="Times New Roman"/>
                <w:sz w:val="20"/>
                <w:szCs w:val="20"/>
                <w:color w:val="008000"/>
                <w:w w:val="93"/>
                <w:vertAlign w:val="superscript"/>
              </w:rPr>
              <w:t>(24)</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05"/>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right"/>
              <w:ind w:right="65"/>
              <w:spacing w:after="0"/>
              <w:rPr>
                <w:sz w:val="20"/>
                <w:szCs w:val="20"/>
                <w:color w:val="auto"/>
              </w:rPr>
            </w:pPr>
            <w:r>
              <w:rPr>
                <w:rFonts w:ascii="Times New Roman" w:cs="Times New Roman" w:eastAsia="Times New Roman" w:hAnsi="Times New Roman"/>
                <w:sz w:val="16"/>
                <w:szCs w:val="16"/>
                <w:color w:val="0000FF"/>
              </w:rPr>
              <w:t>3,285</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6"/>
                <w:szCs w:val="16"/>
                <w:color w:val="0000FF"/>
              </w:rPr>
              <w:t>56,746</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2"/>
        </w:trPr>
        <w:tc>
          <w:tcPr>
            <w:tcW w:w="238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106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540" w:type="dxa"/>
            <w:vAlign w:val="bottom"/>
            <w:tcBorders>
              <w:bottom w:val="single" w:sz="8" w:color="808080"/>
            </w:tcBorders>
          </w:tcPr>
          <w:p>
            <w:pPr>
              <w:spacing w:after="0"/>
              <w:rPr>
                <w:sz w:val="22"/>
                <w:szCs w:val="22"/>
                <w:color w:val="auto"/>
              </w:rPr>
            </w:pPr>
          </w:p>
        </w:tc>
        <w:tc>
          <w:tcPr>
            <w:tcW w:w="860" w:type="dxa"/>
            <w:vAlign w:val="bottom"/>
            <w:tcBorders>
              <w:bottom w:val="single" w:sz="8" w:color="808080"/>
            </w:tcBorders>
          </w:tcPr>
          <w:p>
            <w:pPr>
              <w:spacing w:after="0"/>
              <w:rPr>
                <w:sz w:val="22"/>
                <w:szCs w:val="22"/>
                <w:color w:val="auto"/>
              </w:rPr>
            </w:pPr>
          </w:p>
        </w:tc>
        <w:tc>
          <w:tcPr>
            <w:tcW w:w="1080" w:type="dxa"/>
            <w:vAlign w:val="bottom"/>
            <w:tcBorders>
              <w:bottom w:val="single" w:sz="8" w:color="808080"/>
            </w:tcBorders>
          </w:tcPr>
          <w:p>
            <w:pPr>
              <w:spacing w:after="0"/>
              <w:rPr>
                <w:sz w:val="22"/>
                <w:szCs w:val="22"/>
                <w:color w:val="auto"/>
              </w:rPr>
            </w:pPr>
          </w:p>
        </w:tc>
        <w:tc>
          <w:tcPr>
            <w:tcW w:w="920" w:type="dxa"/>
            <w:vAlign w:val="bottom"/>
            <w:tcBorders>
              <w:bottom w:val="single" w:sz="8" w:color="808080"/>
            </w:tcBorders>
          </w:tcPr>
          <w:p>
            <w:pPr>
              <w:spacing w:after="0"/>
              <w:rPr>
                <w:sz w:val="22"/>
                <w:szCs w:val="22"/>
                <w:color w:val="auto"/>
              </w:rPr>
            </w:pPr>
          </w:p>
        </w:tc>
        <w:tc>
          <w:tcPr>
            <w:tcW w:w="880" w:type="dxa"/>
            <w:vAlign w:val="bottom"/>
            <w:tcBorders>
              <w:bottom w:val="single" w:sz="8" w:color="808080"/>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bl>
    <w:p>
      <w:pPr>
        <w:sectPr>
          <w:pgSz w:w="11900" w:h="16873" w:orient="portrait"/>
          <w:cols w:equalWidth="0" w:num="1">
            <w:col w:w="10940"/>
          </w:cols>
          <w:pgMar w:left="480" w:top="189" w:right="479" w:bottom="0" w:gutter="0" w:footer="0" w:header="0"/>
        </w:sectPr>
      </w:pPr>
    </w:p>
    <w:bookmarkStart w:id="2" w:name="page3"/>
    <w:bookmarkEnd w:id="2"/>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699770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10521950"/>
                    </a:xfrm>
                    <a:prstGeom prst="rect">
                      <a:avLst/>
                    </a:prstGeom>
                    <a:noFill/>
                  </pic:spPr>
                </pic:pic>
              </a:graphicData>
            </a:graphic>
          </wp:anchor>
        </w:drawing>
        <w:t>Table I - Non-Derivative Securities Acquired, Disposed of, or Beneficially Owned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38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tcPr>
          <w:p>
            <w:pPr>
              <w:ind w:left="7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jc w:val="center"/>
              <w:ind w:left="59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8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60" w:type="dxa"/>
            <w:vAlign w:val="bottom"/>
            <w:vMerge w:val="continue"/>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386.65</w:t>
            </w:r>
            <w:r>
              <w:rPr>
                <w:rFonts w:ascii="Times New Roman" w:cs="Times New Roman" w:eastAsia="Times New Roman" w:hAnsi="Times New Roman"/>
                <w:sz w:val="20"/>
                <w:szCs w:val="20"/>
                <w:color w:val="008000"/>
                <w:vertAlign w:val="superscript"/>
              </w:rPr>
              <w:t>(25)</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10"/>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30"/>
              <w:spacing w:after="0"/>
              <w:rPr>
                <w:sz w:val="20"/>
                <w:szCs w:val="20"/>
                <w:color w:val="auto"/>
              </w:rPr>
            </w:pPr>
            <w:r>
              <w:rPr>
                <w:rFonts w:ascii="Times New Roman" w:cs="Times New Roman" w:eastAsia="Times New Roman" w:hAnsi="Times New Roman"/>
                <w:sz w:val="16"/>
                <w:szCs w:val="16"/>
                <w:color w:val="0000FF"/>
                <w:w w:val="99"/>
              </w:rPr>
              <w:t>989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55,757</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387.35</w:t>
            </w:r>
            <w:r>
              <w:rPr>
                <w:rFonts w:ascii="Times New Roman" w:cs="Times New Roman" w:eastAsia="Times New Roman" w:hAnsi="Times New Roman"/>
                <w:sz w:val="20"/>
                <w:szCs w:val="20"/>
                <w:color w:val="008000"/>
                <w:vertAlign w:val="superscript"/>
              </w:rPr>
              <w:t>(26)</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10"/>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30"/>
              <w:spacing w:after="0"/>
              <w:rPr>
                <w:sz w:val="20"/>
                <w:szCs w:val="20"/>
                <w:color w:val="auto"/>
              </w:rPr>
            </w:pPr>
            <w:r>
              <w:rPr>
                <w:rFonts w:ascii="Times New Roman" w:cs="Times New Roman" w:eastAsia="Times New Roman" w:hAnsi="Times New Roman"/>
                <w:sz w:val="16"/>
                <w:szCs w:val="16"/>
                <w:color w:val="0000FF"/>
                <w:w w:val="99"/>
              </w:rPr>
              <w:t>132</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55,626</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388.61</w:t>
            </w:r>
            <w:r>
              <w:rPr>
                <w:rFonts w:ascii="Times New Roman" w:cs="Times New Roman" w:eastAsia="Times New Roman" w:hAnsi="Times New Roman"/>
                <w:sz w:val="20"/>
                <w:szCs w:val="20"/>
                <w:color w:val="008000"/>
                <w:vertAlign w:val="superscript"/>
              </w:rPr>
              <w:t>(27)</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10"/>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30"/>
              <w:spacing w:after="0"/>
              <w:rPr>
                <w:sz w:val="20"/>
                <w:szCs w:val="20"/>
                <w:color w:val="auto"/>
              </w:rPr>
            </w:pPr>
            <w:r>
              <w:rPr>
                <w:rFonts w:ascii="Times New Roman" w:cs="Times New Roman" w:eastAsia="Times New Roman" w:hAnsi="Times New Roman"/>
                <w:sz w:val="16"/>
                <w:szCs w:val="16"/>
                <w:color w:val="0000FF"/>
                <w:w w:val="99"/>
              </w:rPr>
              <w:t>1,312</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54,314</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vMerge w:val="restart"/>
          </w:tcPr>
          <w:p>
            <w:pPr>
              <w:ind w:left="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390.02</w:t>
            </w:r>
            <w:r>
              <w:rPr>
                <w:rFonts w:ascii="Times New Roman" w:cs="Times New Roman" w:eastAsia="Times New Roman" w:hAnsi="Times New Roman"/>
                <w:sz w:val="20"/>
                <w:szCs w:val="20"/>
                <w:color w:val="008000"/>
                <w:vertAlign w:val="superscript"/>
              </w:rPr>
              <w:t>(28)</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200"/>
        </w:trPr>
        <w:tc>
          <w:tcPr>
            <w:tcW w:w="23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jc w:val="center"/>
              <w:ind w:left="610"/>
              <w:spacing w:after="0"/>
              <w:rPr>
                <w:sz w:val="20"/>
                <w:szCs w:val="20"/>
                <w:color w:val="auto"/>
              </w:rPr>
            </w:pPr>
            <w:r>
              <w:rPr>
                <w:rFonts w:ascii="Times New Roman" w:cs="Times New Roman" w:eastAsia="Times New Roman" w:hAnsi="Times New Roman"/>
                <w:sz w:val="16"/>
                <w:szCs w:val="16"/>
                <w:color w:val="0000FF"/>
              </w:rPr>
              <w:t>06/10/2026</w:t>
            </w:r>
          </w:p>
        </w:tc>
        <w:tc>
          <w:tcPr>
            <w:tcW w:w="1060" w:type="dxa"/>
            <w:vAlign w:val="bottom"/>
          </w:tcPr>
          <w:p>
            <w:pPr>
              <w:spacing w:after="0"/>
              <w:rPr>
                <w:sz w:val="17"/>
                <w:szCs w:val="17"/>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S</w:t>
            </w:r>
          </w:p>
        </w:tc>
        <w:tc>
          <w:tcPr>
            <w:tcW w:w="740" w:type="dxa"/>
            <w:vAlign w:val="bottom"/>
          </w:tcPr>
          <w:p>
            <w:pPr>
              <w:jc w:val="center"/>
              <w:ind w:left="30"/>
              <w:spacing w:after="0"/>
              <w:rPr>
                <w:sz w:val="20"/>
                <w:szCs w:val="20"/>
                <w:color w:val="auto"/>
              </w:rPr>
            </w:pPr>
            <w:r>
              <w:rPr>
                <w:rFonts w:ascii="Times New Roman" w:cs="Times New Roman" w:eastAsia="Times New Roman" w:hAnsi="Times New Roman"/>
                <w:sz w:val="16"/>
                <w:szCs w:val="16"/>
                <w:color w:val="0000FF"/>
                <w:w w:val="99"/>
              </w:rPr>
              <w:t>889</w:t>
            </w:r>
          </w:p>
        </w:tc>
        <w:tc>
          <w:tcPr>
            <w:tcW w:w="54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60" w:type="dxa"/>
            <w:vAlign w:val="bottom"/>
            <w:vMerge w:val="continue"/>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53,425</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Lake</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Partners V</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DE (AIV),</w:t>
            </w:r>
          </w:p>
        </w:tc>
        <w:tc>
          <w:tcPr>
            <w:tcW w:w="0" w:type="dxa"/>
            <w:vAlign w:val="bottom"/>
          </w:tcPr>
          <w:p>
            <w:pPr>
              <w:spacing w:after="0"/>
              <w:rPr>
                <w:sz w:val="1"/>
                <w:szCs w:val="1"/>
                <w:color w:val="auto"/>
              </w:rPr>
            </w:pPr>
          </w:p>
        </w:tc>
      </w:tr>
      <w:tr>
        <w:trPr>
          <w:trHeight w:val="267"/>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ind w:left="10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Held</w:t>
            </w: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through</w:t>
            </w:r>
          </w:p>
        </w:tc>
        <w:tc>
          <w:tcPr>
            <w:tcW w:w="0" w:type="dxa"/>
            <w:vAlign w:val="bottom"/>
          </w:tcPr>
          <w:p>
            <w:pPr>
              <w:spacing w:after="0"/>
              <w:rPr>
                <w:sz w:val="1"/>
                <w:szCs w:val="1"/>
                <w:color w:val="auto"/>
              </w:rPr>
            </w:pPr>
          </w:p>
        </w:tc>
      </w:tr>
      <w:tr>
        <w:trPr>
          <w:trHeight w:val="211"/>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9,359</w:t>
            </w:r>
          </w:p>
        </w:tc>
        <w:tc>
          <w:tcPr>
            <w:tcW w:w="9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Silver</w:t>
            </w:r>
          </w:p>
        </w:tc>
        <w:tc>
          <w:tcPr>
            <w:tcW w:w="0" w:type="dxa"/>
            <w:vAlign w:val="bottom"/>
          </w:tcPr>
          <w:p>
            <w:pPr>
              <w:spacing w:after="0"/>
              <w:rPr>
                <w:sz w:val="1"/>
                <w:szCs w:val="1"/>
                <w:color w:val="auto"/>
              </w:rPr>
            </w:pPr>
          </w:p>
        </w:tc>
      </w:tr>
      <w:tr>
        <w:trPr>
          <w:trHeight w:val="100"/>
        </w:trPr>
        <w:tc>
          <w:tcPr>
            <w:tcW w:w="2380" w:type="dxa"/>
            <w:vAlign w:val="bottom"/>
            <w:vMerge w:val="continue"/>
          </w:tcPr>
          <w:p>
            <w:pPr>
              <w:spacing w:after="0"/>
              <w:rPr>
                <w:sz w:val="8"/>
                <w:szCs w:val="8"/>
                <w:color w:val="auto"/>
              </w:rPr>
            </w:pPr>
          </w:p>
        </w:tc>
        <w:tc>
          <w:tcPr>
            <w:tcW w:w="1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89" w:right="359" w:bottom="0" w:gutter="0" w:footer="0" w:header="0"/>
        </w:sectPr>
      </w:pPr>
    </w:p>
    <w:p>
      <w:pPr>
        <w:ind w:left="10180"/>
        <w:spacing w:after="0" w:line="189" w:lineRule="auto"/>
        <w:rPr>
          <w:sz w:val="20"/>
          <w:szCs w:val="20"/>
          <w:color w:val="auto"/>
        </w:rPr>
      </w:pPr>
      <w:r>
        <w:rPr>
          <w:rFonts w:ascii="Times New Roman" w:cs="Times New Roman" w:eastAsia="Times New Roman" w:hAnsi="Times New Roman"/>
          <w:sz w:val="11"/>
          <w:szCs w:val="11"/>
          <w:color w:val="0000FF"/>
        </w:rPr>
        <w:t>Lake</w:t>
      </w:r>
    </w:p>
    <w:p>
      <w:pPr>
        <w:sectPr>
          <w:pgSz w:w="11900" w:h="16838" w:orient="portrait"/>
          <w:cols w:equalWidth="0" w:num="1">
            <w:col w:w="11080"/>
          </w:cols>
          <w:pgMar w:left="460" w:top="189" w:right="359" w:bottom="0" w:gutter="0" w:footer="0" w:header="0"/>
          <w:type w:val="continuous"/>
        </w:sectPr>
      </w:pPr>
    </w:p>
    <w:p>
      <w:pPr>
        <w:ind w:left="10180"/>
        <w:spacing w:after="0"/>
        <w:rPr>
          <w:sz w:val="20"/>
          <w:szCs w:val="20"/>
          <w:color w:val="auto"/>
        </w:rPr>
      </w:pPr>
      <w:r>
        <w:rPr>
          <w:rFonts w:ascii="Times New Roman" w:cs="Times New Roman" w:eastAsia="Times New Roman" w:hAnsi="Times New Roman"/>
          <w:sz w:val="16"/>
          <w:szCs w:val="16"/>
          <w:color w:val="0000FF"/>
        </w:rPr>
        <w:t>Group,</w:t>
      </w:r>
    </w:p>
    <w:p>
      <w:pPr>
        <w:spacing w:after="0" w:line="16"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(4)(5)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4,845</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164,214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7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1460" w:type="dxa"/>
            <w:vAlign w:val="bottom"/>
            <w:tcBorders>
              <w:top w:val="single" w:sz="8" w:color="2C2C2C"/>
              <w:bottom w:val="single" w:sz="8" w:color="2C2C2C"/>
            </w:tcBorders>
            <w:gridSpan w:val="2"/>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1,317,963</w:t>
            </w:r>
          </w:p>
        </w:tc>
        <w:tc>
          <w:tcPr>
            <w:tcW w:w="820" w:type="dxa"/>
            <w:vAlign w:val="bottom"/>
            <w:tcBorders>
              <w:top w:val="single" w:sz="8" w:color="2C2C2C"/>
              <w:bottom w:val="single" w:sz="8" w:color="2C2C2C"/>
            </w:tcBorders>
            <w:gridSpan w:val="2"/>
          </w:tcPr>
          <w:p>
            <w:pPr>
              <w:jc w:val="center"/>
              <w:ind w:right="471"/>
              <w:spacing w:after="0" w:line="299" w:lineRule="exact"/>
              <w:rPr>
                <w:sz w:val="20"/>
                <w:szCs w:val="20"/>
                <w:color w:val="auto"/>
              </w:rPr>
            </w:pPr>
            <w:r>
              <w:rPr>
                <w:rFonts w:ascii="Times New Roman" w:cs="Times New Roman" w:eastAsia="Times New Roman" w:hAnsi="Times New Roman"/>
                <w:sz w:val="32"/>
                <w:szCs w:val="32"/>
                <w:color w:val="0000FF"/>
                <w:w w:val="88"/>
                <w:vertAlign w:val="subscript"/>
              </w:rPr>
              <w:t>D</w:t>
            </w:r>
            <w:r>
              <w:rPr>
                <w:rFonts w:ascii="Times New Roman" w:cs="Times New Roman" w:eastAsia="Times New Roman" w:hAnsi="Times New Roman"/>
                <w:sz w:val="10"/>
                <w:szCs w:val="10"/>
                <w:color w:val="008000"/>
                <w:w w:val="88"/>
              </w:rPr>
              <w:t>(8)</w:t>
            </w: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47,234</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(9)</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C Common Stock</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60" w:type="dxa"/>
            <w:vAlign w:val="bottom"/>
            <w:gridSpan w:val="2"/>
            <w:vMerge w:val="restart"/>
          </w:tcPr>
          <w:p>
            <w:pPr>
              <w:jc w:val="center"/>
              <w:ind w:right="243"/>
              <w:spacing w:after="0"/>
              <w:rPr>
                <w:sz w:val="20"/>
                <w:szCs w:val="20"/>
                <w:color w:val="auto"/>
              </w:rPr>
            </w:pPr>
            <w:r>
              <w:rPr>
                <w:rFonts w:ascii="Times New Roman" w:cs="Times New Roman" w:eastAsia="Times New Roman" w:hAnsi="Times New Roman"/>
                <w:sz w:val="16"/>
                <w:szCs w:val="16"/>
                <w:color w:val="0000FF"/>
                <w:w w:val="99"/>
              </w:rPr>
              <w:t>86,961</w:t>
            </w:r>
          </w:p>
        </w:tc>
        <w:tc>
          <w:tcPr>
            <w:tcW w:w="160" w:type="dxa"/>
            <w:vAlign w:val="bottom"/>
            <w:vMerge w:val="restart"/>
          </w:tcPr>
          <w:p>
            <w:pPr>
              <w:jc w:val="center"/>
              <w:ind w:left="45"/>
              <w:spacing w:after="0"/>
              <w:rPr>
                <w:sz w:val="20"/>
                <w:szCs w:val="20"/>
                <w:color w:val="auto"/>
              </w:rPr>
            </w:pPr>
            <w:r>
              <w:rPr>
                <w:rFonts w:ascii="Times New Roman" w:cs="Times New Roman" w:eastAsia="Times New Roman" w:hAnsi="Times New Roman"/>
                <w:sz w:val="16"/>
                <w:szCs w:val="16"/>
                <w:color w:val="0000FF"/>
                <w:w w:val="74"/>
              </w:rPr>
              <w:t>I</w:t>
            </w:r>
          </w:p>
        </w:tc>
        <w:tc>
          <w:tcPr>
            <w:tcW w:w="140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4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(29)</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4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1"/>
          </w:tcPr>
          <w:p>
            <w:pPr>
              <w:jc w:val="center"/>
              <w:ind w:right="7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60" w:type="dxa"/>
            <w:vAlign w:val="bottom"/>
            <w:gridSpan w:val="9"/>
          </w:tcPr>
          <w:p>
            <w:pPr>
              <w:jc w:val="center"/>
              <w:ind w:right="11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160" w:type="dxa"/>
            <w:vAlign w:val="bottom"/>
          </w:tcPr>
          <w:p>
            <w:pPr>
              <w:spacing w:after="0"/>
              <w:rPr>
                <w:sz w:val="10"/>
                <w:szCs w:val="10"/>
                <w:color w:val="auto"/>
              </w:rPr>
            </w:pP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Held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gridSpan w:val="3"/>
            <w:vMerge w:val="restart"/>
          </w:tcPr>
          <w:p>
            <w:pPr>
              <w:ind w:left="60"/>
              <w:spacing w:after="0" w:line="263"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(1)(2)</w:t>
            </w: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continue"/>
          </w:tcPr>
          <w:p>
            <w:pPr>
              <w:spacing w:after="0"/>
              <w:rPr>
                <w:sz w:val="6"/>
                <w:szCs w:val="6"/>
                <w:color w:val="auto"/>
              </w:rPr>
            </w:pPr>
          </w:p>
        </w:tc>
        <w:tc>
          <w:tcPr>
            <w:tcW w:w="86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color w:val="0000FF"/>
              </w:rPr>
              <w:t>84,538</w:t>
            </w: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Silver Lake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5"/>
                <w:szCs w:val="5"/>
                <w:color w:val="auto"/>
              </w:rPr>
            </w:pP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06/10/2026</w:t>
            </w: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84,538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vMerge w:val="continue"/>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0000FF"/>
              </w:rPr>
              <w:t>9,536,376</w:t>
            </w:r>
          </w:p>
        </w:tc>
        <w:tc>
          <w:tcPr>
            <w:tcW w:w="160" w:type="dxa"/>
            <w:vAlign w:val="bottom"/>
          </w:tcPr>
          <w:p>
            <w:pPr>
              <w:spacing w:after="0"/>
              <w:rPr>
                <w:sz w:val="5"/>
                <w:szCs w:val="5"/>
                <w:color w:val="auto"/>
              </w:rPr>
            </w:pP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Partners V</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DE (AIV),</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right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C</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35,155,615</w:t>
            </w: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8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vMerge w:val="restart"/>
          </w:tcPr>
          <w:p>
            <w:pPr>
              <w:jc w:val="right"/>
              <w:ind w:right="3"/>
              <w:spacing w:after="0" w:line="101" w:lineRule="exact"/>
              <w:rPr>
                <w:sz w:val="20"/>
                <w:szCs w:val="20"/>
                <w:color w:val="auto"/>
              </w:rPr>
            </w:pPr>
            <w:r>
              <w:rPr>
                <w:rFonts w:ascii="Times New Roman" w:cs="Times New Roman" w:eastAsia="Times New Roman" w:hAnsi="Times New Roman"/>
                <w:sz w:val="11"/>
                <w:szCs w:val="11"/>
                <w:color w:val="0000FF"/>
              </w:rPr>
              <w:t>35,155,615</w:t>
            </w:r>
          </w:p>
        </w:tc>
        <w:tc>
          <w:tcPr>
            <w:tcW w:w="160" w:type="dxa"/>
            <w:vAlign w:val="bottom"/>
          </w:tcPr>
          <w:p>
            <w:pPr>
              <w:spacing w:after="0"/>
              <w:rPr>
                <w:sz w:val="3"/>
                <w:szCs w:val="3"/>
                <w:color w:val="auto"/>
              </w:rPr>
            </w:pPr>
          </w:p>
        </w:tc>
        <w:tc>
          <w:tcPr>
            <w:tcW w:w="660" w:type="dxa"/>
            <w:vAlign w:val="bottom"/>
            <w:vMerge w:val="restart"/>
          </w:tcPr>
          <w:p>
            <w:pPr>
              <w:ind w:left="28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Borders>
              <w:right w:val="single" w:sz="8" w:color="2C2C2C"/>
            </w:tcBorders>
            <w:gridSpan w:val="3"/>
          </w:tcPr>
          <w:p>
            <w:pPr>
              <w:ind w:left="6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5"/>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5"/>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Silver Lake Partners V DE (AIV), L.P.</w:t>
              </w:r>
            </w:hyperlink>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-3016885</wp:posOffset>
            </wp:positionV>
            <wp:extent cx="28575" cy="2410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SILVER LAKE</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2775 SAND HILL ROAD, SUITE 100</w:t>
      </w:r>
    </w:p>
    <w:p>
      <w:pPr>
        <w:sectPr>
          <w:pgSz w:w="11900" w:h="16838" w:orient="portrait"/>
          <w:cols w:equalWidth="0" w:num="1">
            <w:col w:w="11080"/>
          </w:cols>
          <w:pgMar w:left="460" w:top="189" w:right="359" w:bottom="0" w:gutter="0" w:footer="0" w:header="0"/>
          <w:type w:val="continuous"/>
        </w:sectPr>
      </w:pPr>
    </w:p>
    <w:bookmarkStart w:id="3" w:name="page4"/>
    <w:bookmarkEnd w:id="3"/>
    <w:tbl>
      <w:tblPr>
        <w:tblLayout w:type="fixed"/>
        <w:tblInd w:w="60" w:type="dxa"/>
        <w:tblCellMar>
          <w:top w:w="0" w:type="dxa"/>
          <w:left w:w="0" w:type="dxa"/>
          <w:bottom w:w="0" w:type="dxa"/>
          <w:right w:w="0" w:type="dxa"/>
        </w:tblCellMar>
      </w:tblPr>
      <w:tr>
        <w:trPr>
          <w:trHeight w:val="164"/>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MENLO PARK</w:t>
            </w:r>
          </w:p>
        </w:tc>
        <w:tc>
          <w:tcPr>
            <w:tcW w:w="10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94025</w:t>
            </w:r>
          </w:p>
        </w:tc>
      </w:tr>
      <w:tr>
        <w:trPr>
          <w:trHeight w:val="144"/>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18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-523875</wp:posOffset>
            </wp:positionV>
            <wp:extent cx="2814320" cy="7286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14320" cy="7286625"/>
                    </a:xfrm>
                    <a:prstGeom prst="rect">
                      <a:avLst/>
                    </a:prstGeom>
                    <a:noFill/>
                  </pic:spPr>
                </pic:pic>
              </a:graphicData>
            </a:graphic>
          </wp:anchor>
        </w:drawing>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Silver Lake Technology Associates V, L.P.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SLTA V (GP),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60" w:type="dxa"/>
            <w:vAlign w:val="bottom"/>
            <w:gridSpan w:val="5"/>
          </w:tcPr>
          <w:p>
            <w:pPr>
              <w:spacing w:after="0" w:line="212"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Silver Lake Group,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r>
        <w:trPr>
          <w:trHeight w:val="77"/>
        </w:trPr>
        <w:tc>
          <w:tcPr>
            <w:tcW w:w="10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76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2"/>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spacing w:after="0" w:line="212"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Durban Egon</w:t>
              </w:r>
            </w:hyperlink>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(Last)</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(Middle)</w:t>
            </w:r>
          </w:p>
        </w:tc>
      </w:tr>
      <w:tr>
        <w:trPr>
          <w:trHeight w:val="258"/>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SILVER LAKE</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2775 SAND HILL ROAD, SUITE 100</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2"/>
        </w:trPr>
        <w:tc>
          <w:tcPr>
            <w:tcW w:w="146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MENLO PARK</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94025</w:t>
            </w:r>
          </w:p>
        </w:tc>
        <w:tc>
          <w:tcPr>
            <w:tcW w:w="8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2"/>
                <w:szCs w:val="12"/>
                <w:color w:val="auto"/>
              </w:rPr>
              <w:t>(City)</w:t>
            </w:r>
          </w:p>
        </w:tc>
        <w:tc>
          <w:tcPr>
            <w:tcW w:w="13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20" w:right="6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ind w:left="20" w:right="280" w:hanging="3"/>
        <w:spacing w:after="0" w:line="260"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par value $0.01 per share of the Issuer (the "Class B Common Stock") is convertible into one share of Class C Common Stock at any time, at the election of the 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13" w:lineRule="exact"/>
        <w:rPr>
          <w:rFonts w:ascii="Times New Roman" w:cs="Times New Roman" w:eastAsia="Times New Roman" w:hAnsi="Times New Roman"/>
          <w:sz w:val="12"/>
          <w:szCs w:val="12"/>
          <w:color w:val="008000"/>
        </w:rPr>
      </w:pPr>
    </w:p>
    <w:p>
      <w:pPr>
        <w:ind w:left="2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directly held by Silver Lake Partners V DE (AIV), L.P. The general partner of Silver Lake Partners V DE (AIV), L.P. is Silver Lake Technology Associates V, L.P. and the general partner of Silver Lake Technology Associates V, L.P. is SLTA V (GP), L.L.C.</w:t>
      </w:r>
    </w:p>
    <w:p>
      <w:pPr>
        <w:ind w:left="20" w:right="36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Silver Lake Group, L.L.C. ("SLG") is the managing member of SLTA V (GP), L.L.C. Egon Durban, who serves as a director of the Issuer, also serves as a Co-CEO and Managing Member of SLG. Each of the Reporting Persons may be deemed a director by deputization of the Issuer.</w:t>
      </w: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shares of Class C Common Stock held by SLG.</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Class C Common Stock are held by entities in which Mr. Durban may be deemed to have an indirect pecuniary interest.</w:t>
      </w:r>
    </w:p>
    <w:p>
      <w:pPr>
        <w:spacing w:after="0" w:line="49" w:lineRule="exact"/>
        <w:rPr>
          <w:rFonts w:ascii="Times New Roman" w:cs="Times New Roman" w:eastAsia="Times New Roman" w:hAnsi="Times New Roman"/>
          <w:sz w:val="12"/>
          <w:szCs w:val="12"/>
          <w:color w:val="008000"/>
        </w:rPr>
      </w:pPr>
    </w:p>
    <w:p>
      <w:pPr>
        <w:ind w:left="20" w:right="200" w:hanging="3"/>
        <w:spacing w:after="0" w:line="282" w:lineRule="auto"/>
        <w:tabs>
          <w:tab w:leader="none" w:pos="14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held directly by Mr. Durban.</w:t>
      </w:r>
    </w:p>
    <w:p>
      <w:pPr>
        <w:spacing w:after="0" w:line="49" w:lineRule="exact"/>
        <w:rPr>
          <w:rFonts w:ascii="Times New Roman" w:cs="Times New Roman" w:eastAsia="Times New Roman" w:hAnsi="Times New Roman"/>
          <w:sz w:val="12"/>
          <w:szCs w:val="12"/>
          <w:color w:val="008000"/>
        </w:rPr>
      </w:pPr>
    </w:p>
    <w:p>
      <w:pPr>
        <w:ind w:left="140" w:hanging="123"/>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Class C Common Stock beneficially owned indirectly by Mr. Durban through a trust for the benefit of certain family members.</w:t>
      </w:r>
    </w:p>
    <w:p>
      <w:pPr>
        <w:spacing w:after="0" w:line="49" w:lineRule="exact"/>
        <w:rPr>
          <w:rFonts w:ascii="Times New Roman" w:cs="Times New Roman" w:eastAsia="Times New Roman" w:hAnsi="Times New Roman"/>
          <w:sz w:val="12"/>
          <w:szCs w:val="12"/>
          <w:color w:val="008000"/>
        </w:rPr>
      </w:pP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$370.9774 to $371.9640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100" w:hanging="3"/>
        <w:spacing w:after="0" w:line="282" w:lineRule="auto"/>
        <w:tabs>
          <w:tab w:leader="none" w:pos="20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$371.9900 to $372.9890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$372.9901 to $373.9740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$374.0051 to $374.9580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$375.0298 to $376.0138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$376.0441 to $377.0399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20" w:right="80" w:hanging="3"/>
        <w:spacing w:after="0" w:line="282" w:lineRule="auto"/>
        <w:tabs>
          <w:tab w:leader="none" w:pos="20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$377.0419 to $378.0300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ectPr>
          <w:pgSz w:w="11900" w:h="16838" w:orient="portrait"/>
          <w:cols w:equalWidth="0" w:num="1">
            <w:col w:w="10920"/>
          </w:cols>
          <w:pgMar w:left="480" w:top="128" w:right="499" w:bottom="0" w:gutter="0" w:footer="0" w:header="0"/>
        </w:sectPr>
      </w:pPr>
    </w:p>
    <w:bookmarkStart w:id="4" w:name="page5"/>
    <w:bookmarkEnd w:id="4"/>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$378.0700 to $379.0685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$379.0800 to $380.0500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$380.0955 to $381.0800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$381.1254 to $382.1001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$382.1400 to $383.1300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$383.2000 to $384.1900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$384.2000 to $385.1900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$385.2000 to $386.1900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$386.2200 to $387.1700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$387.3000 to $387.3800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$388.3100 to $389.0500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hanging="3"/>
        <w:spacing w:after="0" w:line="282"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$389.3900 to $390.3800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ind w:left="3" w:right="14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49,369 shares of Class C Common Stock, Silver Lake Partners IV, L.P. directly holds 37,592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3" w:lineRule="exact"/>
        <w:rPr>
          <w:rFonts w:ascii="Times New Roman" w:cs="Times New Roman" w:eastAsia="Times New Roman" w:hAnsi="Times New Roman"/>
          <w:sz w:val="12"/>
          <w:szCs w:val="12"/>
          <w:color w:val="008000"/>
        </w:rPr>
      </w:pPr>
    </w:p>
    <w:p>
      <w:pPr>
        <w:jc w:val="both"/>
        <w:ind w:left="3" w:right="20" w:hanging="3"/>
        <w:spacing w:after="0" w:line="260"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transactions described in footnote (1), SL SPV-2, L.P. directly holds 17,161,930 shares of Class B Common Stock, Silver Lake Partners IV, L.P. directly holds 17,617,582 shares of Class B Common Stock, Silver Lake Technology Investors IV, L.P. directly holds 259,212 shares of Class B Common Stock and Silver Lake Technology Investors V, L.P. directly holds 116,891 shares of Class B Common Stock, which securities and transactions are reported on separate Form 4 filings.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53"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2"/>
          <w:szCs w:val="12"/>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ectPr>
          <w:pgSz w:w="11900" w:h="16838" w:orient="portrait"/>
          <w:cols w:equalWidth="0" w:num="1">
            <w:col w:w="10823"/>
          </w:cols>
          <w:pgMar w:left="497" w:top="127" w:right="579" w:bottom="1440" w:gutter="0" w:footer="0" w:header="0"/>
        </w:sectPr>
      </w:pPr>
    </w:p>
    <w:p>
      <w:pPr>
        <w:spacing w:after="0" w:line="42"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982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Partners V DE (AIV),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14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32143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general partner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32715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2715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954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9540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600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6002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439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439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member of SLTA 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661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6616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2717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7178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2153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1539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1703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5867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-5080</wp:posOffset>
            </wp:positionV>
            <wp:extent cx="100139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00139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10579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0579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-12065</wp:posOffset>
            </wp:positionV>
            <wp:extent cx="3086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0861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4692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46926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63" w:space="100"/>
            <w:col w:w="2060"/>
          </w:cols>
          <w:pgMar w:left="497" w:top="127" w:right="57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20"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3"/>
      </w:cols>
      <w:pgMar w:left="497" w:top="12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13" Type="http://schemas.openxmlformats.org/officeDocument/2006/relationships/hyperlink" Target="http://www.sec.gov/cgi-bin/browse-edgar?action=getcompany&amp;CIK=0001737659" TargetMode="External"/><Relationship Id="rId14" Type="http://schemas.openxmlformats.org/officeDocument/2006/relationships/hyperlink" Target="http://www.sec.gov/cgi-bin/browse-edgar?action=getcompany&amp;CIK=0001571996" TargetMode="External"/><Relationship Id="rId19" Type="http://schemas.openxmlformats.org/officeDocument/2006/relationships/hyperlink" Target="http://www.sec.gov/cgi-bin/browse-edgar?action=getcompany&amp;CIK=0001737657" TargetMode="External"/><Relationship Id="rId20" Type="http://schemas.openxmlformats.org/officeDocument/2006/relationships/hyperlink" Target="http://www.sec.gov/cgi-bin/browse-edgar?action=getcompany&amp;CIK=0001737652" TargetMode="External"/><Relationship Id="rId21" Type="http://schemas.openxmlformats.org/officeDocument/2006/relationships/hyperlink" Target="http://www.sec.gov/cgi-bin/browse-edgar?action=getcompany&amp;CIK=0001418226" TargetMode="External"/><Relationship Id="rId22"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2026-06-12T16:58:03Z</dcterms:created>
  <dcterms:modified xsi:type="dcterms:W3CDTF">2026-06-12T16:58:03Z</dcterms:modified>
</cp:coreProperties>
</file>