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00"/>
          </w:cols>
          <w:pgMar w:left="460" w:top="219" w:right="459" w:bottom="25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2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SLTA V (GP), L.L.C.</w:t>
              </w:r>
            </w:hyperlink>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72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Dell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DELL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gridSpan w:val="3"/>
            <w:vMerge w:val="continue"/>
          </w:tcPr>
          <w:p>
            <w:pPr>
              <w:spacing w:after="0"/>
              <w:rPr>
                <w:sz w:val="6"/>
                <w:szCs w:val="6"/>
                <w:color w:val="auto"/>
              </w:rPr>
            </w:pPr>
          </w:p>
        </w:tc>
        <w:tc>
          <w:tcPr>
            <w:tcW w:w="1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gridSpan w:val="3"/>
            <w:vMerge w:val="continue"/>
          </w:tcPr>
          <w:p>
            <w:pPr>
              <w:spacing w:after="0"/>
              <w:rPr>
                <w:sz w:val="5"/>
                <w:szCs w:val="5"/>
                <w:color w:val="auto"/>
              </w:rPr>
            </w:pPr>
          </w:p>
        </w:tc>
        <w:tc>
          <w:tcPr>
            <w:tcW w:w="1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4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6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gridSpan w:val="2"/>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gridSpan w:val="2"/>
          </w:tcPr>
          <w:p>
            <w:pPr>
              <w:ind w:left="400"/>
              <w:spacing w:after="0"/>
              <w:rPr>
                <w:sz w:val="20"/>
                <w:szCs w:val="20"/>
                <w:color w:val="auto"/>
              </w:rPr>
            </w:pPr>
            <w:r>
              <w:rPr>
                <w:rFonts w:ascii="Arial" w:cs="Arial" w:eastAsia="Arial" w:hAnsi="Arial"/>
                <w:sz w:val="13"/>
                <w:szCs w:val="13"/>
                <w:color w:val="auto"/>
              </w:rPr>
              <w:t>(First)</w:t>
            </w:r>
          </w:p>
        </w:tc>
        <w:tc>
          <w:tcPr>
            <w:tcW w:w="1760" w:type="dxa"/>
            <w:vAlign w:val="bottom"/>
            <w:gridSpan w:val="2"/>
          </w:tcPr>
          <w:p>
            <w:pPr>
              <w:ind w:left="4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16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10/01/2025</w:t>
            </w: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8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5"/>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5"/>
            <w:vMerge w:val="continue"/>
          </w:tcPr>
          <w:p>
            <w:pPr>
              <w:spacing w:after="0"/>
              <w:rPr>
                <w:sz w:val="9"/>
                <w:szCs w:val="9"/>
                <w:color w:val="auto"/>
              </w:rPr>
            </w:pPr>
          </w:p>
        </w:tc>
        <w:tc>
          <w:tcPr>
            <w:tcW w:w="33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2940" w:type="dxa"/>
            <w:vAlign w:val="bottom"/>
            <w:gridSpan w:val="5"/>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680" w:type="dxa"/>
            <w:vAlign w:val="bottom"/>
          </w:tcPr>
          <w:p>
            <w:pPr>
              <w:ind w:left="48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gridSpan w:val="5"/>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6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ind w:left="22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gridSpan w:val="2"/>
          </w:tcPr>
          <w:p>
            <w:pPr>
              <w:ind w:left="40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4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4060" w:type="dxa"/>
            <w:vAlign w:val="bottom"/>
            <w:tcBorders>
              <w:bottom w:val="single" w:sz="8" w:color="2C2C2C"/>
            </w:tcBorders>
            <w:gridSpan w:val="6"/>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00" w:type="dxa"/>
            <w:vAlign w:val="bottom"/>
            <w:tcBorders>
              <w:top w:val="single" w:sz="8" w:color="2C2C2C"/>
            </w:tcBorders>
            <w:gridSpan w:val="11"/>
          </w:tcPr>
          <w:p>
            <w:pPr>
              <w:ind w:left="1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5"/>
          </w:tcPr>
          <w:p>
            <w:pPr>
              <w:jc w:val="center"/>
              <w:ind w:right="2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tcPr>
          <w:p>
            <w:pPr>
              <w:jc w:val="center"/>
              <w:ind w:left="70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3"/>
                <w:szCs w:val="13"/>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line="86"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6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80" w:type="dxa"/>
            <w:vAlign w:val="bottom"/>
          </w:tcPr>
          <w:p>
            <w:pPr>
              <w:jc w:val="center"/>
              <w:ind w:left="782"/>
              <w:spacing w:after="0"/>
              <w:rPr>
                <w:sz w:val="20"/>
                <w:szCs w:val="20"/>
                <w:color w:val="auto"/>
              </w:rPr>
            </w:pPr>
            <w:r>
              <w:rPr>
                <w:rFonts w:ascii="Times New Roman" w:cs="Times New Roman" w:eastAsia="Times New Roman" w:hAnsi="Times New Roman"/>
                <w:sz w:val="17"/>
                <w:szCs w:val="17"/>
                <w:color w:val="0000FF"/>
              </w:rPr>
              <w:t>10/01/2025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78,378</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gridSpan w:val="2"/>
          </w:tcPr>
          <w:p>
            <w:pPr>
              <w:ind w:left="80"/>
              <w:spacing w:after="0" w:line="241" w:lineRule="exact"/>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147.09</w:t>
            </w:r>
            <w:r>
              <w:rPr>
                <w:rFonts w:ascii="Times New Roman" w:cs="Times New Roman" w:eastAsia="Times New Roman" w:hAnsi="Times New Roman"/>
                <w:sz w:val="22"/>
                <w:szCs w:val="22"/>
                <w:color w:val="008000"/>
                <w:w w:val="99"/>
                <w:vertAlign w:val="superscript"/>
              </w:rPr>
              <w:t>(14)</w:t>
            </w:r>
          </w:p>
        </w:tc>
        <w:tc>
          <w:tcPr>
            <w:tcW w:w="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83,864</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 SL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7"/>
                <w:szCs w:val="17"/>
                <w:color w:val="0000FF"/>
              </w:rPr>
              <w:t>SPV-2, L.P.</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80" w:type="dxa"/>
            <w:vAlign w:val="bottom"/>
          </w:tcPr>
          <w:p>
            <w:pPr>
              <w:jc w:val="center"/>
              <w:ind w:left="782"/>
              <w:spacing w:after="0"/>
              <w:rPr>
                <w:sz w:val="20"/>
                <w:szCs w:val="20"/>
                <w:color w:val="auto"/>
              </w:rPr>
            </w:pPr>
            <w:r>
              <w:rPr>
                <w:rFonts w:ascii="Times New Roman" w:cs="Times New Roman" w:eastAsia="Times New Roman" w:hAnsi="Times New Roman"/>
                <w:sz w:val="17"/>
                <w:szCs w:val="17"/>
                <w:color w:val="0000FF"/>
              </w:rPr>
              <w:t>10/01/2025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90,330</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gridSpan w:val="2"/>
          </w:tcPr>
          <w:p>
            <w:pPr>
              <w:ind w:left="80"/>
              <w:spacing w:after="0" w:line="213" w:lineRule="exact"/>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147.09</w:t>
            </w:r>
            <w:r>
              <w:rPr>
                <w:rFonts w:ascii="Times New Roman" w:cs="Times New Roman" w:eastAsia="Times New Roman" w:hAnsi="Times New Roman"/>
                <w:sz w:val="22"/>
                <w:szCs w:val="22"/>
                <w:color w:val="008000"/>
                <w:w w:val="99"/>
                <w:vertAlign w:val="superscript"/>
              </w:rPr>
              <w:t>(14)</w:t>
            </w:r>
          </w:p>
        </w:tc>
        <w:tc>
          <w:tcPr>
            <w:tcW w:w="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62,953</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Partners IV,</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80" w:type="dxa"/>
            <w:vAlign w:val="bottom"/>
            <w:vMerge w:val="restart"/>
          </w:tcPr>
          <w:p>
            <w:pPr>
              <w:jc w:val="center"/>
              <w:ind w:left="782"/>
              <w:spacing w:after="0"/>
              <w:rPr>
                <w:sz w:val="20"/>
                <w:szCs w:val="20"/>
                <w:color w:val="auto"/>
              </w:rPr>
            </w:pPr>
            <w:r>
              <w:rPr>
                <w:rFonts w:ascii="Times New Roman" w:cs="Times New Roman" w:eastAsia="Times New Roman" w:hAnsi="Times New Roman"/>
                <w:sz w:val="17"/>
                <w:szCs w:val="17"/>
                <w:color w:val="0000FF"/>
              </w:rPr>
              <w:t>10/01/2025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46,338</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147.09</w:t>
            </w:r>
            <w:r>
              <w:rPr>
                <w:rFonts w:ascii="Times New Roman" w:cs="Times New Roman" w:eastAsia="Times New Roman" w:hAnsi="Times New Roman"/>
                <w:sz w:val="22"/>
                <w:szCs w:val="22"/>
                <w:color w:val="008000"/>
                <w:w w:val="99"/>
                <w:vertAlign w:val="superscript"/>
              </w:rPr>
              <w:t>(14)</w:t>
            </w:r>
          </w:p>
        </w:tc>
        <w:tc>
          <w:tcPr>
            <w:tcW w:w="6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40,073</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 V</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DE (AIV),</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80" w:type="dxa"/>
            <w:vAlign w:val="bottom"/>
            <w:vMerge w:val="restart"/>
          </w:tcPr>
          <w:p>
            <w:pPr>
              <w:jc w:val="center"/>
              <w:ind w:left="782"/>
              <w:spacing w:after="0"/>
              <w:rPr>
                <w:sz w:val="20"/>
                <w:szCs w:val="20"/>
                <w:color w:val="auto"/>
              </w:rPr>
            </w:pPr>
            <w:r>
              <w:rPr>
                <w:rFonts w:ascii="Times New Roman" w:cs="Times New Roman" w:eastAsia="Times New Roman" w:hAnsi="Times New Roman"/>
                <w:sz w:val="17"/>
                <w:szCs w:val="17"/>
                <w:color w:val="0000FF"/>
              </w:rPr>
              <w:t>10/01/2025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1,724</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147.09</w:t>
            </w:r>
            <w:r>
              <w:rPr>
                <w:rFonts w:ascii="Times New Roman" w:cs="Times New Roman" w:eastAsia="Times New Roman" w:hAnsi="Times New Roman"/>
                <w:sz w:val="22"/>
                <w:szCs w:val="22"/>
                <w:color w:val="008000"/>
                <w:w w:val="99"/>
                <w:vertAlign w:val="superscript"/>
              </w:rPr>
              <w:t>(14)</w:t>
            </w:r>
          </w:p>
        </w:tc>
        <w:tc>
          <w:tcPr>
            <w:tcW w:w="6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Technology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8"/>
              </w:rPr>
              <w:t>IV, L.P.</w:t>
            </w:r>
            <w:r>
              <w:rPr>
                <w:rFonts w:ascii="Times New Roman" w:cs="Times New Roman" w:eastAsia="Times New Roman" w:hAnsi="Times New Roman"/>
                <w:sz w:val="22"/>
                <w:szCs w:val="22"/>
                <w:color w:val="008000"/>
                <w:w w:val="98"/>
                <w:vertAlign w:val="superscript"/>
              </w:rPr>
              <w:t>(6)(9)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80" w:type="dxa"/>
            <w:vAlign w:val="bottom"/>
            <w:vMerge w:val="restart"/>
          </w:tcPr>
          <w:p>
            <w:pPr>
              <w:jc w:val="center"/>
              <w:ind w:left="782"/>
              <w:spacing w:after="0"/>
              <w:rPr>
                <w:sz w:val="20"/>
                <w:szCs w:val="20"/>
                <w:color w:val="auto"/>
              </w:rPr>
            </w:pPr>
            <w:r>
              <w:rPr>
                <w:rFonts w:ascii="Times New Roman" w:cs="Times New Roman" w:eastAsia="Times New Roman" w:hAnsi="Times New Roman"/>
                <w:sz w:val="17"/>
                <w:szCs w:val="17"/>
                <w:color w:val="0000FF"/>
              </w:rPr>
              <w:t>10/01/2025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777</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147.09</w:t>
            </w:r>
            <w:r>
              <w:rPr>
                <w:rFonts w:ascii="Times New Roman" w:cs="Times New Roman" w:eastAsia="Times New Roman" w:hAnsi="Times New Roman"/>
                <w:sz w:val="22"/>
                <w:szCs w:val="22"/>
                <w:color w:val="008000"/>
                <w:w w:val="99"/>
                <w:vertAlign w:val="superscript"/>
              </w:rPr>
              <w:t>(14)</w:t>
            </w:r>
          </w:p>
        </w:tc>
        <w:tc>
          <w:tcPr>
            <w:tcW w:w="6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Technology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Investors V,</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80" w:type="dxa"/>
            <w:vAlign w:val="bottom"/>
          </w:tcPr>
          <w:p>
            <w:pPr>
              <w:jc w:val="center"/>
              <w:ind w:left="782"/>
              <w:spacing w:after="0"/>
              <w:rPr>
                <w:sz w:val="20"/>
                <w:szCs w:val="20"/>
                <w:color w:val="auto"/>
              </w:rPr>
            </w:pPr>
            <w:r>
              <w:rPr>
                <w:rFonts w:ascii="Times New Roman" w:cs="Times New Roman" w:eastAsia="Times New Roman" w:hAnsi="Times New Roman"/>
                <w:sz w:val="17"/>
                <w:szCs w:val="17"/>
                <w:color w:val="0000FF"/>
              </w:rPr>
              <w:t>10/01/2025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37</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gridSpan w:val="2"/>
          </w:tcPr>
          <w:p>
            <w:pPr>
              <w:ind w:left="80"/>
              <w:spacing w:after="0" w:line="241" w:lineRule="exact"/>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148.76</w:t>
            </w:r>
            <w:r>
              <w:rPr>
                <w:rFonts w:ascii="Times New Roman" w:cs="Times New Roman" w:eastAsia="Times New Roman" w:hAnsi="Times New Roman"/>
                <w:sz w:val="22"/>
                <w:szCs w:val="22"/>
                <w:color w:val="008000"/>
                <w:w w:val="99"/>
                <w:vertAlign w:val="superscript"/>
              </w:rPr>
              <w:t>(15)</w:t>
            </w:r>
          </w:p>
        </w:tc>
        <w:tc>
          <w:tcPr>
            <w:tcW w:w="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83,827</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 SL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7"/>
                <w:szCs w:val="17"/>
                <w:color w:val="0000FF"/>
              </w:rPr>
              <w:t>SPV-2, L.P.</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80" w:type="dxa"/>
            <w:vAlign w:val="bottom"/>
          </w:tcPr>
          <w:p>
            <w:pPr>
              <w:jc w:val="center"/>
              <w:ind w:left="782"/>
              <w:spacing w:after="0"/>
              <w:rPr>
                <w:sz w:val="20"/>
                <w:szCs w:val="20"/>
                <w:color w:val="auto"/>
              </w:rPr>
            </w:pPr>
            <w:r>
              <w:rPr>
                <w:rFonts w:ascii="Times New Roman" w:cs="Times New Roman" w:eastAsia="Times New Roman" w:hAnsi="Times New Roman"/>
                <w:sz w:val="17"/>
                <w:szCs w:val="17"/>
                <w:color w:val="0000FF"/>
              </w:rPr>
              <w:t>10/01/2025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42</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gridSpan w:val="2"/>
          </w:tcPr>
          <w:p>
            <w:pPr>
              <w:ind w:left="80"/>
              <w:spacing w:after="0" w:line="213" w:lineRule="exact"/>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148.76</w:t>
            </w:r>
            <w:r>
              <w:rPr>
                <w:rFonts w:ascii="Times New Roman" w:cs="Times New Roman" w:eastAsia="Times New Roman" w:hAnsi="Times New Roman"/>
                <w:sz w:val="22"/>
                <w:szCs w:val="22"/>
                <w:color w:val="008000"/>
                <w:w w:val="99"/>
                <w:vertAlign w:val="superscript"/>
              </w:rPr>
              <w:t>(15)</w:t>
            </w:r>
          </w:p>
        </w:tc>
        <w:tc>
          <w:tcPr>
            <w:tcW w:w="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62,911</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Partners IV,</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9" w:right="459" w:bottom="25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10526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jc w:val="center"/>
              <w:ind w:right="1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jc w:val="center"/>
              <w:ind w:left="10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2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00" w:type="dxa"/>
            <w:vAlign w:val="bottom"/>
          </w:tcPr>
          <w:p>
            <w:pPr>
              <w:spacing w:after="0"/>
              <w:rPr>
                <w:sz w:val="13"/>
                <w:szCs w:val="13"/>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40" w:type="dxa"/>
            <w:vAlign w:val="bottom"/>
            <w:tcBorders>
              <w:top w:val="single" w:sz="8" w:color="2C2C2C"/>
            </w:tcBorders>
          </w:tcPr>
          <w:p>
            <w:pPr>
              <w:spacing w:after="0"/>
              <w:rPr>
                <w:sz w:val="7"/>
                <w:szCs w:val="7"/>
                <w:color w:val="auto"/>
              </w:rPr>
            </w:pPr>
          </w:p>
        </w:tc>
        <w:tc>
          <w:tcPr>
            <w:tcW w:w="6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vMerge w:val="restart"/>
          </w:tcPr>
          <w:p>
            <w:pPr>
              <w:jc w:val="center"/>
              <w:ind w:left="166"/>
              <w:spacing w:after="0"/>
              <w:rPr>
                <w:sz w:val="20"/>
                <w:szCs w:val="20"/>
                <w:color w:val="auto"/>
              </w:rPr>
            </w:pPr>
            <w:r>
              <w:rPr>
                <w:rFonts w:ascii="Times New Roman" w:cs="Times New Roman" w:eastAsia="Times New Roman" w:hAnsi="Times New Roman"/>
                <w:sz w:val="17"/>
                <w:szCs w:val="17"/>
                <w:color w:val="0000FF"/>
              </w:rPr>
              <w:t>10/01/2025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22</w:t>
            </w:r>
          </w:p>
        </w:tc>
        <w:tc>
          <w:tcPr>
            <w:tcW w:w="36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gridSpan w:val="2"/>
            <w:vMerge w:val="restart"/>
          </w:tcPr>
          <w:p>
            <w:pPr>
              <w:jc w:val="center"/>
              <w:ind w:left="115"/>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148.76</w:t>
            </w:r>
            <w:r>
              <w:rPr>
                <w:rFonts w:ascii="Times New Roman" w:cs="Times New Roman" w:eastAsia="Times New Roman" w:hAnsi="Times New Roman"/>
                <w:sz w:val="22"/>
                <w:szCs w:val="22"/>
                <w:color w:val="008000"/>
                <w:w w:val="91"/>
                <w:vertAlign w:val="superscript"/>
              </w:rPr>
              <w:t>(15)</w:t>
            </w: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40,051</w:t>
            </w:r>
          </w:p>
        </w:tc>
        <w:tc>
          <w:tcPr>
            <w:tcW w:w="360" w:type="dxa"/>
            <w:vAlign w:val="bottom"/>
          </w:tcPr>
          <w:p>
            <w:pPr>
              <w:spacing w:after="0"/>
              <w:rPr>
                <w:sz w:val="18"/>
                <w:szCs w:val="18"/>
                <w:color w:val="auto"/>
              </w:rPr>
            </w:pPr>
          </w:p>
        </w:tc>
        <w:tc>
          <w:tcPr>
            <w:tcW w:w="520" w:type="dxa"/>
            <w:vAlign w:val="bottom"/>
            <w:vMerge w:val="restart"/>
          </w:tcPr>
          <w:p>
            <w:pPr>
              <w:jc w:val="center"/>
              <w:ind w:right="344"/>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Partners V</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DE (AIV),</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(5)(9)</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vMerge w:val="restart"/>
          </w:tcPr>
          <w:p>
            <w:pPr>
              <w:jc w:val="center"/>
              <w:ind w:left="166"/>
              <w:spacing w:after="0"/>
              <w:rPr>
                <w:sz w:val="20"/>
                <w:szCs w:val="20"/>
                <w:color w:val="auto"/>
              </w:rPr>
            </w:pPr>
            <w:r>
              <w:rPr>
                <w:rFonts w:ascii="Times New Roman" w:cs="Times New Roman" w:eastAsia="Times New Roman" w:hAnsi="Times New Roman"/>
                <w:sz w:val="17"/>
                <w:szCs w:val="17"/>
                <w:color w:val="0000FF"/>
              </w:rPr>
              <w:t>10/01/2025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w:t>
            </w:r>
          </w:p>
        </w:tc>
        <w:tc>
          <w:tcPr>
            <w:tcW w:w="36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gridSpan w:val="2"/>
            <w:vMerge w:val="restart"/>
          </w:tcPr>
          <w:p>
            <w:pPr>
              <w:jc w:val="center"/>
              <w:ind w:left="115"/>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148.76</w:t>
            </w:r>
            <w:r>
              <w:rPr>
                <w:rFonts w:ascii="Times New Roman" w:cs="Times New Roman" w:eastAsia="Times New Roman" w:hAnsi="Times New Roman"/>
                <w:sz w:val="22"/>
                <w:szCs w:val="22"/>
                <w:color w:val="008000"/>
                <w:w w:val="91"/>
                <w:vertAlign w:val="superscript"/>
              </w:rPr>
              <w:t>(15)</w:t>
            </w:r>
          </w:p>
        </w:tc>
        <w:tc>
          <w:tcPr>
            <w:tcW w:w="700" w:type="dxa"/>
            <w:vAlign w:val="bottom"/>
            <w:gridSpan w:val="2"/>
            <w:vMerge w:val="restart"/>
          </w:tcPr>
          <w:p>
            <w:pPr>
              <w:jc w:val="center"/>
              <w:ind w:left="421"/>
              <w:spacing w:after="0"/>
              <w:rPr>
                <w:sz w:val="20"/>
                <w:szCs w:val="20"/>
                <w:color w:val="auto"/>
              </w:rPr>
            </w:pPr>
            <w:r>
              <w:rPr>
                <w:rFonts w:ascii="Times New Roman" w:cs="Times New Roman" w:eastAsia="Times New Roman" w:hAnsi="Times New Roman"/>
                <w:sz w:val="17"/>
                <w:szCs w:val="17"/>
                <w:color w:val="0000FF"/>
                <w:w w:val="93"/>
              </w:rPr>
              <w:t>0</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vMerge w:val="restart"/>
          </w:tcPr>
          <w:p>
            <w:pPr>
              <w:jc w:val="center"/>
              <w:ind w:right="344"/>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Technology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7"/>
                <w:szCs w:val="17"/>
                <w:color w:val="0000FF"/>
                <w:w w:val="98"/>
              </w:rPr>
              <w:t>IV, L.P.</w:t>
            </w:r>
            <w:r>
              <w:rPr>
                <w:rFonts w:ascii="Times New Roman" w:cs="Times New Roman" w:eastAsia="Times New Roman" w:hAnsi="Times New Roman"/>
                <w:sz w:val="22"/>
                <w:szCs w:val="22"/>
                <w:color w:val="008000"/>
                <w:w w:val="98"/>
                <w:vertAlign w:val="superscript"/>
              </w:rPr>
              <w:t>(6)(9)</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tcPr>
          <w:p>
            <w:pPr>
              <w:jc w:val="center"/>
              <w:ind w:left="166"/>
              <w:spacing w:after="0"/>
              <w:rPr>
                <w:sz w:val="20"/>
                <w:szCs w:val="20"/>
                <w:color w:val="auto"/>
              </w:rPr>
            </w:pPr>
            <w:r>
              <w:rPr>
                <w:rFonts w:ascii="Times New Roman" w:cs="Times New Roman" w:eastAsia="Times New Roman" w:hAnsi="Times New Roman"/>
                <w:sz w:val="17"/>
                <w:szCs w:val="17"/>
                <w:color w:val="0000FF"/>
              </w:rPr>
              <w:t>10/02/2025</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gridSpan w:val="2"/>
          </w:tcPr>
          <w:p>
            <w:pPr>
              <w:ind w:left="60"/>
              <w:spacing w:after="0" w:line="241" w:lineRule="exact"/>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(1)(2)</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83,827</w:t>
            </w:r>
          </w:p>
        </w:tc>
        <w:tc>
          <w:tcPr>
            <w:tcW w:w="36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Pr>
          <w:p>
            <w:pPr>
              <w:jc w:val="center"/>
              <w:ind w:left="195"/>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0"/>
                <w:szCs w:val="20"/>
                <w:color w:val="auto"/>
              </w:rPr>
            </w:pPr>
          </w:p>
        </w:tc>
        <w:tc>
          <w:tcPr>
            <w:tcW w:w="700" w:type="dxa"/>
            <w:vAlign w:val="bottom"/>
            <w:gridSpan w:val="2"/>
          </w:tcPr>
          <w:p>
            <w:pPr>
              <w:jc w:val="center"/>
              <w:ind w:left="421"/>
              <w:spacing w:after="0"/>
              <w:rPr>
                <w:sz w:val="20"/>
                <w:szCs w:val="20"/>
                <w:color w:val="auto"/>
              </w:rPr>
            </w:pPr>
            <w:r>
              <w:rPr>
                <w:rFonts w:ascii="Times New Roman" w:cs="Times New Roman" w:eastAsia="Times New Roman" w:hAnsi="Times New Roman"/>
                <w:sz w:val="17"/>
                <w:szCs w:val="17"/>
                <w:color w:val="0000FF"/>
                <w:w w:val="93"/>
              </w:rPr>
              <w:t>0</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jc w:val="center"/>
              <w:ind w:right="344"/>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through SL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gridSpan w:val="4"/>
          </w:tcPr>
          <w:p>
            <w:pPr>
              <w:ind w:left="40"/>
              <w:spacing w:after="0" w:line="182" w:lineRule="exact"/>
              <w:rPr>
                <w:sz w:val="20"/>
                <w:szCs w:val="20"/>
                <w:color w:val="auto"/>
              </w:rPr>
            </w:pPr>
            <w:r>
              <w:rPr>
                <w:rFonts w:ascii="Times New Roman" w:cs="Times New Roman" w:eastAsia="Times New Roman" w:hAnsi="Times New Roman"/>
                <w:sz w:val="17"/>
                <w:szCs w:val="17"/>
                <w:color w:val="0000FF"/>
              </w:rPr>
              <w:t>SPV-2, L.P.</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(3)(9)</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gridSpan w:val="2"/>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tcPr>
          <w:p>
            <w:pPr>
              <w:jc w:val="center"/>
              <w:ind w:left="166"/>
              <w:spacing w:after="0"/>
              <w:rPr>
                <w:sz w:val="20"/>
                <w:szCs w:val="20"/>
                <w:color w:val="auto"/>
              </w:rPr>
            </w:pPr>
            <w:r>
              <w:rPr>
                <w:rFonts w:ascii="Times New Roman" w:cs="Times New Roman" w:eastAsia="Times New Roman" w:hAnsi="Times New Roman"/>
                <w:sz w:val="17"/>
                <w:szCs w:val="17"/>
                <w:color w:val="0000FF"/>
              </w:rPr>
              <w:t>10/02/2025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(1)(2)</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62,911</w:t>
            </w:r>
          </w:p>
        </w:tc>
        <w:tc>
          <w:tcPr>
            <w:tcW w:w="36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Pr>
          <w:p>
            <w:pPr>
              <w:jc w:val="center"/>
              <w:ind w:left="195"/>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18"/>
                <w:szCs w:val="18"/>
                <w:color w:val="auto"/>
              </w:rPr>
            </w:pPr>
          </w:p>
        </w:tc>
        <w:tc>
          <w:tcPr>
            <w:tcW w:w="700" w:type="dxa"/>
            <w:vAlign w:val="bottom"/>
            <w:gridSpan w:val="2"/>
          </w:tcPr>
          <w:p>
            <w:pPr>
              <w:jc w:val="center"/>
              <w:ind w:left="421"/>
              <w:spacing w:after="0"/>
              <w:rPr>
                <w:sz w:val="20"/>
                <w:szCs w:val="20"/>
                <w:color w:val="auto"/>
              </w:rPr>
            </w:pPr>
            <w:r>
              <w:rPr>
                <w:rFonts w:ascii="Times New Roman" w:cs="Times New Roman" w:eastAsia="Times New Roman" w:hAnsi="Times New Roman"/>
                <w:sz w:val="17"/>
                <w:szCs w:val="17"/>
                <w:color w:val="0000FF"/>
                <w:w w:val="93"/>
              </w:rPr>
              <w:t>0</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center"/>
              <w:ind w:right="344"/>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Partners IV,</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(4)(9)</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vMerge w:val="restart"/>
          </w:tcPr>
          <w:p>
            <w:pPr>
              <w:jc w:val="center"/>
              <w:ind w:left="166"/>
              <w:spacing w:after="0"/>
              <w:rPr>
                <w:sz w:val="20"/>
                <w:szCs w:val="20"/>
                <w:color w:val="auto"/>
              </w:rPr>
            </w:pPr>
            <w:r>
              <w:rPr>
                <w:rFonts w:ascii="Times New Roman" w:cs="Times New Roman" w:eastAsia="Times New Roman" w:hAnsi="Times New Roman"/>
                <w:sz w:val="17"/>
                <w:szCs w:val="17"/>
                <w:color w:val="0000FF"/>
              </w:rPr>
              <w:t>10/02/2025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40,051</w:t>
            </w:r>
          </w:p>
        </w:tc>
        <w:tc>
          <w:tcPr>
            <w:tcW w:w="36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vMerge w:val="restart"/>
          </w:tcPr>
          <w:p>
            <w:pPr>
              <w:jc w:val="center"/>
              <w:ind w:left="195"/>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18"/>
                <w:szCs w:val="18"/>
                <w:color w:val="auto"/>
              </w:rPr>
            </w:pPr>
          </w:p>
        </w:tc>
        <w:tc>
          <w:tcPr>
            <w:tcW w:w="700" w:type="dxa"/>
            <w:vAlign w:val="bottom"/>
            <w:gridSpan w:val="2"/>
            <w:vMerge w:val="restart"/>
          </w:tcPr>
          <w:p>
            <w:pPr>
              <w:jc w:val="center"/>
              <w:ind w:left="421"/>
              <w:spacing w:after="0"/>
              <w:rPr>
                <w:sz w:val="20"/>
                <w:szCs w:val="20"/>
                <w:color w:val="auto"/>
              </w:rPr>
            </w:pPr>
            <w:r>
              <w:rPr>
                <w:rFonts w:ascii="Times New Roman" w:cs="Times New Roman" w:eastAsia="Times New Roman" w:hAnsi="Times New Roman"/>
                <w:sz w:val="17"/>
                <w:szCs w:val="17"/>
                <w:color w:val="0000FF"/>
                <w:w w:val="93"/>
              </w:rPr>
              <w:t>0</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vMerge w:val="restart"/>
          </w:tcPr>
          <w:p>
            <w:pPr>
              <w:jc w:val="center"/>
              <w:ind w:right="344"/>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60" w:type="dxa"/>
            <w:vAlign w:val="bottom"/>
            <w:gridSpan w:val="5"/>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Partners V</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DE (AIV),</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(5)(9)</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tcPr>
          <w:p>
            <w:pPr>
              <w:jc w:val="center"/>
              <w:ind w:left="166"/>
              <w:spacing w:after="0"/>
              <w:rPr>
                <w:sz w:val="20"/>
                <w:szCs w:val="20"/>
                <w:color w:val="auto"/>
              </w:rPr>
            </w:pPr>
            <w:r>
              <w:rPr>
                <w:rFonts w:ascii="Times New Roman" w:cs="Times New Roman" w:eastAsia="Times New Roman" w:hAnsi="Times New Roman"/>
                <w:sz w:val="17"/>
                <w:szCs w:val="17"/>
                <w:color w:val="0000FF"/>
              </w:rPr>
              <w:t>10/02/2025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1,188</w:t>
            </w:r>
          </w:p>
        </w:tc>
        <w:tc>
          <w:tcPr>
            <w:tcW w:w="36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gridSpan w:val="2"/>
          </w:tcPr>
          <w:p>
            <w:pPr>
              <w:jc w:val="center"/>
              <w:ind w:left="115"/>
              <w:spacing w:after="0" w:line="213" w:lineRule="exact"/>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146.07</w:t>
            </w:r>
            <w:r>
              <w:rPr>
                <w:rFonts w:ascii="Times New Roman" w:cs="Times New Roman" w:eastAsia="Times New Roman" w:hAnsi="Times New Roman"/>
                <w:sz w:val="22"/>
                <w:szCs w:val="22"/>
                <w:color w:val="008000"/>
                <w:w w:val="91"/>
                <w:vertAlign w:val="superscript"/>
              </w:rPr>
              <w:t>(16)</w:t>
            </w:r>
          </w:p>
        </w:tc>
        <w:tc>
          <w:tcPr>
            <w:tcW w:w="700" w:type="dxa"/>
            <w:vAlign w:val="bottom"/>
            <w:gridSpan w:val="2"/>
          </w:tcPr>
          <w:p>
            <w:pPr>
              <w:jc w:val="center"/>
              <w:ind w:left="421"/>
              <w:spacing w:after="0"/>
              <w:rPr>
                <w:sz w:val="20"/>
                <w:szCs w:val="20"/>
                <w:color w:val="auto"/>
              </w:rPr>
            </w:pPr>
            <w:r>
              <w:rPr>
                <w:rFonts w:ascii="Times New Roman" w:cs="Times New Roman" w:eastAsia="Times New Roman" w:hAnsi="Times New Roman"/>
                <w:sz w:val="17"/>
                <w:szCs w:val="17"/>
                <w:color w:val="0000FF"/>
                <w:w w:val="93"/>
              </w:rPr>
              <w:t>0</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center"/>
              <w:ind w:right="344"/>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Group,</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(8)(9)</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tcBorders>
              <w:top w:val="single" w:sz="8" w:color="2C2C2C"/>
            </w:tcBorders>
            <w:vMerge w:val="restart"/>
          </w:tcPr>
          <w:p>
            <w:pPr>
              <w:jc w:val="center"/>
              <w:ind w:left="166"/>
              <w:spacing w:after="0"/>
              <w:rPr>
                <w:sz w:val="20"/>
                <w:szCs w:val="20"/>
                <w:color w:val="auto"/>
              </w:rPr>
            </w:pPr>
            <w:r>
              <w:rPr>
                <w:rFonts w:ascii="Times New Roman" w:cs="Times New Roman" w:eastAsia="Times New Roman" w:hAnsi="Times New Roman"/>
                <w:sz w:val="17"/>
                <w:szCs w:val="17"/>
                <w:color w:val="0000FF"/>
              </w:rPr>
              <w:t>10/02/2025</w:t>
            </w: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1,032</w:t>
            </w:r>
          </w:p>
        </w:tc>
        <w:tc>
          <w:tcPr>
            <w:tcW w:w="360" w:type="dxa"/>
            <w:vAlign w:val="bottom"/>
            <w:tcBorders>
              <w:top w:val="single" w:sz="8" w:color="2C2C2C"/>
            </w:tcBorders>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tcBorders>
              <w:top w:val="single" w:sz="8" w:color="2C2C2C"/>
            </w:tcBorders>
            <w:gridSpan w:val="2"/>
            <w:vMerge w:val="restart"/>
          </w:tcPr>
          <w:p>
            <w:pPr>
              <w:jc w:val="center"/>
              <w:ind w:left="115"/>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146.07</w:t>
            </w:r>
            <w:r>
              <w:rPr>
                <w:rFonts w:ascii="Times New Roman" w:cs="Times New Roman" w:eastAsia="Times New Roman" w:hAnsi="Times New Roman"/>
                <w:sz w:val="22"/>
                <w:szCs w:val="22"/>
                <w:color w:val="008000"/>
                <w:w w:val="91"/>
                <w:vertAlign w:val="superscript"/>
              </w:rPr>
              <w:t>(16)</w:t>
            </w:r>
          </w:p>
        </w:tc>
        <w:tc>
          <w:tcPr>
            <w:tcW w:w="700" w:type="dxa"/>
            <w:vAlign w:val="bottom"/>
            <w:tcBorders>
              <w:top w:val="single" w:sz="8" w:color="2C2C2C"/>
            </w:tcBorders>
            <w:gridSpan w:val="2"/>
            <w:vMerge w:val="restart"/>
          </w:tcPr>
          <w:p>
            <w:pPr>
              <w:jc w:val="center"/>
              <w:ind w:left="421"/>
              <w:spacing w:after="0"/>
              <w:rPr>
                <w:sz w:val="20"/>
                <w:szCs w:val="20"/>
                <w:color w:val="auto"/>
              </w:rPr>
            </w:pPr>
            <w:r>
              <w:rPr>
                <w:rFonts w:ascii="Times New Roman" w:cs="Times New Roman" w:eastAsia="Times New Roman" w:hAnsi="Times New Roman"/>
                <w:sz w:val="17"/>
                <w:szCs w:val="17"/>
                <w:color w:val="0000FF"/>
                <w:w w:val="93"/>
              </w:rPr>
              <w:t>0</w:t>
            </w: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206,873</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9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1,132,134</w:t>
            </w:r>
          </w:p>
        </w:tc>
        <w:tc>
          <w:tcPr>
            <w:tcW w:w="880" w:type="dxa"/>
            <w:vAlign w:val="bottom"/>
            <w:tcBorders>
              <w:top w:val="single" w:sz="8" w:color="2C2C2C"/>
              <w:bottom w:val="single" w:sz="8" w:color="2C2C2C"/>
            </w:tcBorders>
            <w:gridSpan w:val="2"/>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6"/>
                <w:vertAlign w:val="subscript"/>
              </w:rPr>
              <w:t>D</w:t>
            </w:r>
            <w:r>
              <w:rPr>
                <w:rFonts w:ascii="Times New Roman" w:cs="Times New Roman" w:eastAsia="Times New Roman" w:hAnsi="Times New Roman"/>
                <w:sz w:val="11"/>
                <w:szCs w:val="11"/>
                <w:color w:val="008000"/>
                <w:w w:val="86"/>
              </w:rPr>
              <w:t>(12)</w:t>
            </w:r>
          </w:p>
        </w:tc>
        <w:tc>
          <w:tcPr>
            <w:tcW w:w="3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45,396</w:t>
            </w:r>
          </w:p>
        </w:tc>
        <w:tc>
          <w:tcPr>
            <w:tcW w:w="360" w:type="dxa"/>
            <w:vAlign w:val="bottom"/>
          </w:tcPr>
          <w:p>
            <w:pPr>
              <w:spacing w:after="0"/>
              <w:rPr>
                <w:sz w:val="21"/>
                <w:szCs w:val="21"/>
                <w:color w:val="auto"/>
              </w:rPr>
            </w:pPr>
          </w:p>
        </w:tc>
        <w:tc>
          <w:tcPr>
            <w:tcW w:w="520" w:type="dxa"/>
            <w:vAlign w:val="bottom"/>
            <w:vMerge w:val="restart"/>
          </w:tcPr>
          <w:p>
            <w:pPr>
              <w:jc w:val="center"/>
              <w:ind w:right="34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180" w:type="dxa"/>
            <w:vAlign w:val="bottom"/>
            <w:gridSpan w:val="17"/>
          </w:tcPr>
          <w:p>
            <w:pPr>
              <w:ind w:lef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SLTA V (GP), L.L.C.</w:t>
              </w:r>
            </w:hyperlink>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-3337560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191" w:right="359" w:bottom="0" w:gutter="0" w:footer="0" w:header="0"/>
        </w:sectPr>
      </w:pPr>
    </w:p>
    <w:bookmarkStart w:id="2" w:name="page3"/>
    <w:bookmarkEnd w:id="2"/>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-85090</wp:posOffset>
            </wp:positionV>
            <wp:extent cx="2809240" cy="5537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9240" cy="5537835"/>
                    </a:xfrm>
                    <a:prstGeom prst="rect">
                      <a:avLst/>
                    </a:prstGeom>
                    <a:noFill/>
                  </pic:spPr>
                </pic:pic>
              </a:graphicData>
            </a:graphic>
          </wp:anchor>
        </w:drawing>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Silver Lake Technology Associates V,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Silver Lake Partners V DE (AIV),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Silver Lake Technology Investors V, L.P.</w:t>
        </w:r>
      </w:hyperlink>
    </w:p>
    <w:p>
      <w:pPr>
        <w:spacing w:after="0" w:line="309"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C/O SILVER LAKE</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2775 SAND HILL ROAD, SUITE 100</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center"/>
        <w:ind w:right="6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SL SPV-2, L.P. ("SPV-2"), Silver Lake Partners IV, L.P. ("SLP IV"), Silver Lake Partners V DE (AIV), L.P. ("SLP V") and certain of their respective affiliates sold certain shares of Class C Common Stock, par value $0.01 per share ("Class C Common Stock") of Dell Technologies Inc. (the "Issuer") on October 1, 2025 and initiated in-kind distributions of shares of Class C Common Stock on October 2, 2025. The receipt of shares of Class C Common Stock by each of the Reporting Persons in connection with such distributions was exempt from reporting pursuant to Rule 16a-13 of the Exchange Act.</w:t>
      </w:r>
    </w:p>
    <w:p>
      <w:pPr>
        <w:spacing w:after="0" w:line="20" w:lineRule="exact"/>
        <w:rPr>
          <w:rFonts w:ascii="Times New Roman" w:cs="Times New Roman" w:eastAsia="Times New Roman" w:hAnsi="Times New Roman"/>
          <w:sz w:val="13"/>
          <w:szCs w:val="13"/>
          <w:color w:val="008000"/>
        </w:rPr>
      </w:pPr>
    </w:p>
    <w:p>
      <w:pPr>
        <w:ind w:right="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October 1, 2025, certain of the Reporting Persons converted shares of Class B Common Stock into an equal number of shares of Class C Common Stock in connection with the sales and distributions described in footnote (1) above.</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SPV-2. The general partner of SPV-2 is SLTA SPV-2, L.P. ("SLTA SPV") and the general partner of SLTA SPV is SLTA SPV-2 (GP), L.L.C. ("SLTA SPV GP").</w:t>
      </w:r>
    </w:p>
    <w:p>
      <w:pPr>
        <w:spacing w:after="0" w:line="50" w:lineRule="exact"/>
        <w:rPr>
          <w:rFonts w:ascii="Times New Roman" w:cs="Times New Roman" w:eastAsia="Times New Roman" w:hAnsi="Times New Roman"/>
          <w:sz w:val="13"/>
          <w:szCs w:val="13"/>
          <w:color w:val="008000"/>
        </w:rPr>
      </w:pPr>
    </w:p>
    <w:p>
      <w:pPr>
        <w:ind w:right="26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SLP IV. The general partner of SLP IV is Silver Lake Technology Associates IV, L.P. ("SLTA IV") and the general partner of SLTA IV is SLTA IV (GP), L.L.C. ("SLTA IV GP").</w:t>
      </w:r>
    </w:p>
    <w:p>
      <w:pPr>
        <w:spacing w:after="0" w:line="7"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SLP V. The general partner of SLP V is Silver Lake Technology Associates V, L.P. ("SLTA V") and the general partner of SLTA V is SLTA V (GP), L.L.C. ("SLTA V GP").</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Silver Lake Technology Investors IV, L.P. The general partner of Silver Lake Technology Investors IV, L.P. is SLTA IV and the general partner of SLTA IV is SLTA IV GP.</w:t>
      </w:r>
    </w:p>
    <w:p>
      <w:pPr>
        <w:spacing w:after="0" w:line="7" w:lineRule="exact"/>
        <w:rPr>
          <w:rFonts w:ascii="Times New Roman" w:cs="Times New Roman" w:eastAsia="Times New Roman" w:hAnsi="Times New Roman"/>
          <w:sz w:val="13"/>
          <w:szCs w:val="13"/>
          <w:color w:val="008000"/>
        </w:rPr>
      </w:pPr>
    </w:p>
    <w:p>
      <w:pPr>
        <w:ind w:right="10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Silver Lake Technology Investors V, L.P. The general partner of Silver Lake Technology Investors V, L.P. is SLTA V and the general partner of SLTA V is SLTA V GP.</w:t>
      </w:r>
    </w:p>
    <w:p>
      <w:pPr>
        <w:spacing w:after="0" w:line="7"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held by Silver Lake Group, L.L.C. ("SLG"). Shares held includes shares of Class C Common Stock received in connection with the pro rata distributions described herein on October 2, 2025. The receipt of such shares of Class C Common Stock was exempt from reporting pursuant to Rule 16a-13 of the Exchange Act.</w:t>
      </w:r>
    </w:p>
    <w:p>
      <w:pPr>
        <w:spacing w:after="0" w:line="7" w:lineRule="exact"/>
        <w:rPr>
          <w:rFonts w:ascii="Times New Roman" w:cs="Times New Roman" w:eastAsia="Times New Roman" w:hAnsi="Times New Roman"/>
          <w:sz w:val="13"/>
          <w:szCs w:val="13"/>
          <w:color w:val="008000"/>
        </w:rPr>
      </w:pPr>
    </w:p>
    <w:p>
      <w:pPr>
        <w:ind w:right="16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SLG is the managing member of SLTA SPV GP, SLTA IV GP and SLTA V GP. Egon Durban, who serves as a director of the Issuer, also serves as a Co-CEO and Managing Member of SLG. Each of the Reporting Persons may be deemed a director by deputization of the Issuer.</w:t>
      </w:r>
    </w:p>
    <w:p>
      <w:pPr>
        <w:spacing w:after="0" w:line="7" w:lineRule="exact"/>
        <w:rPr>
          <w:rFonts w:ascii="Times New Roman" w:cs="Times New Roman" w:eastAsia="Times New Roman" w:hAnsi="Times New Roman"/>
          <w:sz w:val="13"/>
          <w:szCs w:val="13"/>
          <w:color w:val="008000"/>
        </w:rPr>
      </w:pPr>
    </w:p>
    <w:p>
      <w:pPr>
        <w:ind w:right="80" w:firstLine="7"/>
        <w:spacing w:after="0" w:line="272"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are held by entities in which Mr. Durban may be deemed to have an indirect pecuniary interest including shares received in connection with the distributions of shares of Class C Common Stock on October 2, 2025. The receipt of such shares of Class C Common Stock indirectly by Mr. Durban was exempt from reporting pursuant to Rule 16a-13 of the Exchange Act.</w:t>
      </w:r>
    </w:p>
    <w:p>
      <w:pPr>
        <w:spacing w:after="0" w:line="7" w:lineRule="exact"/>
        <w:rPr>
          <w:rFonts w:ascii="Times New Roman" w:cs="Times New Roman" w:eastAsia="Times New Roman" w:hAnsi="Times New Roman"/>
          <w:sz w:val="13"/>
          <w:szCs w:val="13"/>
          <w:color w:val="008000"/>
        </w:rPr>
      </w:pPr>
    </w:p>
    <w:p>
      <w:pPr>
        <w:ind w:firstLine="7"/>
        <w:spacing w:after="0" w:line="253" w:lineRule="auto"/>
        <w:tabs>
          <w:tab w:leader="none" w:pos="19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distributions described in footnote (1) above, pro rata distributions of certain shares were initiated to certain employees and managing members of SLG or its affiliates, including Egon Durban. This amount reflects 55,147, 31,825, 62 and 119,839 shares held by SLTA SPV-2, L.P., SLTA V, SLTA IV and SLG, respectively, on behalf of such individuals, including shares distributed in the October 2, 2025 distributions. The receipt of such shares of Class C Common Stock was exempt from reporting pursuant to Rule 16a-13 of the Exchange Act.</w:t>
      </w:r>
    </w:p>
    <w:p>
      <w:pPr>
        <w:spacing w:after="0" w:line="20" w:lineRule="exact"/>
        <w:rPr>
          <w:rFonts w:ascii="Times New Roman" w:cs="Times New Roman" w:eastAsia="Times New Roman" w:hAnsi="Times New Roman"/>
          <w:sz w:val="13"/>
          <w:szCs w:val="13"/>
          <w:color w:val="008000"/>
        </w:rPr>
      </w:pPr>
    </w:p>
    <w:p>
      <w:pPr>
        <w:ind w:right="180" w:firstLine="7"/>
        <w:spacing w:after="0" w:line="272"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held by Mr. Durban immediately following the receipt of shares in connection with the distributions of shares of Class C Common Stock on October 2, 2025. The receipt of such shares of Class C Common Stock was exempt from reporting pursuant to Rule 16a-13 of the Exchange Act.</w:t>
      </w:r>
    </w:p>
    <w:p>
      <w:pPr>
        <w:spacing w:after="0" w:line="7" w:lineRule="exact"/>
        <w:rPr>
          <w:rFonts w:ascii="Times New Roman" w:cs="Times New Roman" w:eastAsia="Times New Roman" w:hAnsi="Times New Roman"/>
          <w:sz w:val="13"/>
          <w:szCs w:val="13"/>
          <w:color w:val="008000"/>
        </w:rPr>
      </w:pPr>
    </w:p>
    <w:p>
      <w:pPr>
        <w:ind w:right="10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beneficially owned indirectly by Mr. Durban through a trust for the benefit of certain family members, including shares received in connection with the distributions of shares of Class C Common Stock on October 2, 2025. The receipt of such shares of Class C Common Stock indirectly by Mr. Durban was exempt from reporting pursuant to Rule 16a-13 of the Exchange Act.</w:t>
      </w:r>
    </w:p>
    <w:p>
      <w:pPr>
        <w:spacing w:after="0" w:line="20" w:lineRule="exact"/>
        <w:rPr>
          <w:rFonts w:ascii="Times New Roman" w:cs="Times New Roman" w:eastAsia="Times New Roman" w:hAnsi="Times New Roman"/>
          <w:sz w:val="13"/>
          <w:szCs w:val="13"/>
          <w:color w:val="008000"/>
        </w:rPr>
      </w:pPr>
    </w:p>
    <w:p>
      <w:pPr>
        <w:jc w:val="both"/>
        <w:ind w:right="16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$146.96 to $147.5336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8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$148.76 to $148.77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8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$146.03 to $146.13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3"/>
          <w:szCs w:val="13"/>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Because no more than 10 reporting persons can file any one Form 4 through the Securities and Exchange Commission's EDGAR system, certain affiliates of the Reporting Persons have filed a separate Form 4. Because no more than 30 transactions can be listed on each Table of the Form 4 filing, the Reporting Persons have filed a separate Form 4 reporting additional transactions.</w:t>
      </w:r>
    </w:p>
    <w:p>
      <w:pPr>
        <w:sectPr>
          <w:pgSz w:w="11900" w:h="16838" w:orient="portrait"/>
          <w:cols w:equalWidth="0" w:num="1">
            <w:col w:w="10880"/>
          </w:cols>
          <w:pgMar w:left="500" w:top="125" w:right="519" w:bottom="0" w:gutter="0" w:footer="0" w:header="0"/>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901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2901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53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93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53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V, L.P.,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77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1677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of Silver Lake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 DE (AIV),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34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334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Technology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3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 L.P.,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7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Technology Investors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708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0000FF"/>
        </w:rPr>
        <w:t>10/03/2025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032" w:lineRule="exact"/>
        <w:rPr>
          <w:sz w:val="20"/>
          <w:szCs w:val="20"/>
          <w:color w:val="auto"/>
        </w:rPr>
      </w:pPr>
    </w:p>
    <w:p>
      <w:pPr>
        <w:sectPr>
          <w:pgSz w:w="11900" w:h="16838" w:orient="portrait"/>
          <w:cols w:equalWidth="0" w:num="2">
            <w:col w:w="8680" w:space="60"/>
            <w:col w:w="1440"/>
          </w:cols>
          <w:pgMar w:left="500" w:top="125"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13" Type="http://schemas.openxmlformats.org/officeDocument/2006/relationships/hyperlink" Target="http://www.sec.gov/cgi-bin/browse-edgar?action=getcompany&amp;CIK=0001737652" TargetMode="External"/><Relationship Id="rId14" Type="http://schemas.openxmlformats.org/officeDocument/2006/relationships/hyperlink" Target="http://www.sec.gov/cgi-bin/browse-edgar?action=getcompany&amp;CIK=0001571996" TargetMode="External"/><Relationship Id="rId18" Type="http://schemas.openxmlformats.org/officeDocument/2006/relationships/hyperlink" Target="http://www.sec.gov/cgi-bin/browse-edgar?action=getcompany&amp;CIK=0001737657" TargetMode="External"/><Relationship Id="rId19" Type="http://schemas.openxmlformats.org/officeDocument/2006/relationships/hyperlink" Target="http://www.sec.gov/cgi-bin/browse-edgar?action=getcompany&amp;CIK=0001737659" TargetMode="External"/><Relationship Id="rId20" Type="http://schemas.openxmlformats.org/officeDocument/2006/relationships/hyperlink" Target="http://www.sec.gov/cgi-bin/browse-edgar?action=getcompany&amp;CIK=00017358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2025-10-03T15:43:43Z</dcterms:created>
  <dcterms:modified xsi:type="dcterms:W3CDTF">2025-10-03T15:43:43Z</dcterms:modified>
</cp:coreProperties>
</file>