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1022"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 Lake Partners IV, L.P.</w:t>
              </w:r>
            </w:hyperlink>
          </w:p>
        </w:tc>
        <w:tc>
          <w:tcPr>
            <w:tcW w:w="274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Dell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DELL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76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560" w:type="dxa"/>
            <w:vAlign w:val="bottom"/>
          </w:tcPr>
          <w:p>
            <w:pPr>
              <w:spacing w:after="0"/>
              <w:rPr>
                <w:sz w:val="16"/>
                <w:szCs w:val="16"/>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(Middle)</w:t>
            </w:r>
          </w:p>
        </w:tc>
        <w:tc>
          <w:tcPr>
            <w:tcW w:w="320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06/10/2026</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5"/>
            <w:vMerge w:val="continue"/>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2920" w:type="dxa"/>
            <w:vAlign w:val="bottom"/>
            <w:gridSpan w:val="5"/>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760" w:type="dxa"/>
            <w:vAlign w:val="bottom"/>
            <w:gridSpan w:val="2"/>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20" w:type="dxa"/>
            <w:vAlign w:val="bottom"/>
            <w:gridSpan w:val="5"/>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56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(Zip)</w:t>
            </w: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80" w:type="dxa"/>
            <w:vAlign w:val="bottom"/>
            <w:tcBorders>
              <w:bottom w:val="single" w:sz="8" w:color="2C2C2C"/>
            </w:tcBorders>
            <w:gridSpan w:val="7"/>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2"/>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5"/>
                <w:szCs w:val="15"/>
                <w:color w:val="auto"/>
              </w:rPr>
            </w:pPr>
          </w:p>
        </w:tc>
        <w:tc>
          <w:tcPr>
            <w:tcW w:w="1360" w:type="dxa"/>
            <w:vAlign w:val="bottom"/>
            <w:gridSpan w:val="3"/>
          </w:tcPr>
          <w:p>
            <w:pPr>
              <w:ind w:left="3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220" w:type="dxa"/>
            <w:vAlign w:val="bottom"/>
            <w:gridSpan w:val="5"/>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60" w:type="dxa"/>
            <w:vAlign w:val="bottom"/>
            <w:gridSpan w:val="3"/>
          </w:tcPr>
          <w:p>
            <w:pPr>
              <w:jc w:val="center"/>
              <w:ind w:left="27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2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3"/>
                <w:szCs w:val="13"/>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3"/>
            <w:vMerge w:val="restart"/>
          </w:tcPr>
          <w:p>
            <w:pPr>
              <w:jc w:val="center"/>
              <w:ind w:left="893"/>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right"/>
              <w:ind w:right="103"/>
              <w:spacing w:after="0"/>
              <w:rPr>
                <w:sz w:val="20"/>
                <w:szCs w:val="20"/>
                <w:color w:val="auto"/>
              </w:rPr>
            </w:pPr>
            <w:r>
              <w:rPr>
                <w:rFonts w:ascii="Times New Roman" w:cs="Times New Roman" w:eastAsia="Times New Roman" w:hAnsi="Times New Roman"/>
                <w:sz w:val="17"/>
                <w:szCs w:val="17"/>
                <w:color w:val="0000FF"/>
              </w:rPr>
              <w:t>2,871</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391.03</w:t>
            </w:r>
            <w:r>
              <w:rPr>
                <w:rFonts w:ascii="Times New Roman" w:cs="Times New Roman" w:eastAsia="Times New Roman" w:hAnsi="Times New Roman"/>
                <w:sz w:val="22"/>
                <w:szCs w:val="22"/>
                <w:color w:val="008000"/>
                <w:w w:val="94"/>
                <w:vertAlign w:val="superscript"/>
              </w:rPr>
              <w:t>(10)</w:t>
            </w:r>
          </w:p>
        </w:tc>
        <w:tc>
          <w:tcPr>
            <w:tcW w:w="40" w:type="dxa"/>
            <w:vAlign w:val="bottom"/>
          </w:tcPr>
          <w:p>
            <w:pPr>
              <w:spacing w:after="0"/>
              <w:rPr>
                <w:sz w:val="18"/>
                <w:szCs w:val="18"/>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81,667</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18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3"/>
            <w:vMerge w:val="restart"/>
          </w:tcPr>
          <w:p>
            <w:pPr>
              <w:jc w:val="center"/>
              <w:ind w:left="893"/>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right"/>
              <w:ind w:right="103"/>
              <w:spacing w:after="0"/>
              <w:rPr>
                <w:sz w:val="20"/>
                <w:szCs w:val="20"/>
                <w:color w:val="auto"/>
              </w:rPr>
            </w:pPr>
            <w:r>
              <w:rPr>
                <w:rFonts w:ascii="Times New Roman" w:cs="Times New Roman" w:eastAsia="Times New Roman" w:hAnsi="Times New Roman"/>
                <w:sz w:val="17"/>
                <w:szCs w:val="17"/>
                <w:color w:val="0000FF"/>
              </w:rPr>
              <w:t>3,537</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391.85</w:t>
            </w:r>
            <w:r>
              <w:rPr>
                <w:rFonts w:ascii="Times New Roman" w:cs="Times New Roman" w:eastAsia="Times New Roman" w:hAnsi="Times New Roman"/>
                <w:sz w:val="22"/>
                <w:szCs w:val="22"/>
                <w:color w:val="008000"/>
                <w:w w:val="94"/>
                <w:vertAlign w:val="superscript"/>
              </w:rPr>
              <w:t>(11)</w:t>
            </w:r>
          </w:p>
        </w:tc>
        <w:tc>
          <w:tcPr>
            <w:tcW w:w="40" w:type="dxa"/>
            <w:vAlign w:val="bottom"/>
          </w:tcPr>
          <w:p>
            <w:pPr>
              <w:spacing w:after="0"/>
              <w:rPr>
                <w:sz w:val="18"/>
                <w:szCs w:val="18"/>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78,130</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18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3"/>
            <w:vMerge w:val="restart"/>
          </w:tcPr>
          <w:p>
            <w:pPr>
              <w:jc w:val="center"/>
              <w:ind w:left="893"/>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right"/>
              <w:ind w:right="103"/>
              <w:spacing w:after="0"/>
              <w:rPr>
                <w:sz w:val="20"/>
                <w:szCs w:val="20"/>
                <w:color w:val="auto"/>
              </w:rPr>
            </w:pPr>
            <w:r>
              <w:rPr>
                <w:rFonts w:ascii="Times New Roman" w:cs="Times New Roman" w:eastAsia="Times New Roman" w:hAnsi="Times New Roman"/>
                <w:sz w:val="17"/>
                <w:szCs w:val="17"/>
                <w:color w:val="0000FF"/>
              </w:rPr>
              <w:t>4,981</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393.15</w:t>
            </w:r>
            <w:r>
              <w:rPr>
                <w:rFonts w:ascii="Times New Roman" w:cs="Times New Roman" w:eastAsia="Times New Roman" w:hAnsi="Times New Roman"/>
                <w:sz w:val="22"/>
                <w:szCs w:val="22"/>
                <w:color w:val="008000"/>
                <w:w w:val="94"/>
                <w:vertAlign w:val="superscript"/>
              </w:rPr>
              <w:t>(12)</w:t>
            </w:r>
          </w:p>
        </w:tc>
        <w:tc>
          <w:tcPr>
            <w:tcW w:w="40" w:type="dxa"/>
            <w:vAlign w:val="bottom"/>
          </w:tcPr>
          <w:p>
            <w:pPr>
              <w:spacing w:after="0"/>
              <w:rPr>
                <w:sz w:val="18"/>
                <w:szCs w:val="18"/>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73,150</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18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3"/>
            <w:vMerge w:val="restart"/>
          </w:tcPr>
          <w:p>
            <w:pPr>
              <w:jc w:val="center"/>
              <w:ind w:left="893"/>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right"/>
              <w:ind w:right="103"/>
              <w:spacing w:after="0"/>
              <w:rPr>
                <w:sz w:val="20"/>
                <w:szCs w:val="20"/>
                <w:color w:val="auto"/>
              </w:rPr>
            </w:pPr>
            <w:r>
              <w:rPr>
                <w:rFonts w:ascii="Times New Roman" w:cs="Times New Roman" w:eastAsia="Times New Roman" w:hAnsi="Times New Roman"/>
                <w:sz w:val="17"/>
                <w:szCs w:val="17"/>
                <w:color w:val="0000FF"/>
              </w:rPr>
              <w:t>8,655</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394.12</w:t>
            </w:r>
            <w:r>
              <w:rPr>
                <w:rFonts w:ascii="Times New Roman" w:cs="Times New Roman" w:eastAsia="Times New Roman" w:hAnsi="Times New Roman"/>
                <w:sz w:val="22"/>
                <w:szCs w:val="22"/>
                <w:color w:val="008000"/>
                <w:w w:val="94"/>
                <w:vertAlign w:val="superscript"/>
              </w:rPr>
              <w:t>(13)</w:t>
            </w:r>
          </w:p>
        </w:tc>
        <w:tc>
          <w:tcPr>
            <w:tcW w:w="40" w:type="dxa"/>
            <w:vAlign w:val="bottom"/>
          </w:tcPr>
          <w:p>
            <w:pPr>
              <w:spacing w:after="0"/>
              <w:rPr>
                <w:sz w:val="18"/>
                <w:szCs w:val="18"/>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64,495</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18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3"/>
            <w:vMerge w:val="restart"/>
          </w:tcPr>
          <w:p>
            <w:pPr>
              <w:jc w:val="center"/>
              <w:ind w:left="893"/>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right"/>
              <w:ind w:right="103"/>
              <w:spacing w:after="0"/>
              <w:rPr>
                <w:sz w:val="20"/>
                <w:szCs w:val="20"/>
                <w:color w:val="auto"/>
              </w:rPr>
            </w:pPr>
            <w:r>
              <w:rPr>
                <w:rFonts w:ascii="Times New Roman" w:cs="Times New Roman" w:eastAsia="Times New Roman" w:hAnsi="Times New Roman"/>
                <w:sz w:val="17"/>
                <w:szCs w:val="17"/>
                <w:color w:val="0000FF"/>
              </w:rPr>
              <w:t>8,449</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34"/>
                <w:szCs w:val="34"/>
                <w:color w:val="000000"/>
                <w:w w:val="83"/>
                <w:vertAlign w:val="subscript"/>
              </w:rPr>
              <w:t>$</w:t>
            </w:r>
            <w:r>
              <w:rPr>
                <w:rFonts w:ascii="Times New Roman" w:cs="Times New Roman" w:eastAsia="Times New Roman" w:hAnsi="Times New Roman"/>
                <w:sz w:val="34"/>
                <w:szCs w:val="34"/>
                <w:color w:val="0000FF"/>
                <w:w w:val="83"/>
                <w:vertAlign w:val="subscript"/>
              </w:rPr>
              <w:t>395</w:t>
            </w:r>
            <w:r>
              <w:rPr>
                <w:rFonts w:ascii="Times New Roman" w:cs="Times New Roman" w:eastAsia="Times New Roman" w:hAnsi="Times New Roman"/>
                <w:sz w:val="11"/>
                <w:szCs w:val="11"/>
                <w:color w:val="008000"/>
                <w:w w:val="83"/>
              </w:rPr>
              <w:t>(14)</w:t>
            </w:r>
          </w:p>
        </w:tc>
        <w:tc>
          <w:tcPr>
            <w:tcW w:w="40" w:type="dxa"/>
            <w:vAlign w:val="bottom"/>
          </w:tcPr>
          <w:p>
            <w:pPr>
              <w:spacing w:after="0"/>
              <w:rPr>
                <w:sz w:val="18"/>
                <w:szCs w:val="18"/>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56,045</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80" w:type="dxa"/>
            <w:vAlign w:val="bottom"/>
            <w:gridSpan w:val="3"/>
            <w:vMerge w:val="continue"/>
          </w:tcPr>
          <w:p>
            <w:pPr>
              <w:spacing w:after="0"/>
              <w:rPr>
                <w:sz w:val="20"/>
                <w:szCs w:val="20"/>
                <w:color w:val="auto"/>
              </w:rPr>
            </w:pPr>
          </w:p>
        </w:tc>
        <w:tc>
          <w:tcPr>
            <w:tcW w:w="184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7"/>
          <w:szCs w:val="17"/>
          <w:color w:val="0000FF"/>
        </w:rPr>
        <w:t>Partners</w:t>
      </w:r>
    </w:p>
    <w:p>
      <w:pPr>
        <w:ind w:left="10120"/>
        <w:spacing w:after="0" w:line="208" w:lineRule="auto"/>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p>
      <w:pPr>
        <w:spacing w:after="0" w:line="1"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1"/>
          <w:szCs w:val="11"/>
          <w:color w:val="008000"/>
        </w:rPr>
        <w:t>(4)</w:t>
      </w:r>
    </w:p>
    <w:p>
      <w:pPr>
        <w:sectPr>
          <w:pgSz w:w="11900" w:h="16838" w:orient="portrait"/>
          <w:cols w:equalWidth="0" w:num="1">
            <w:col w:w="10980"/>
          </w:cols>
          <w:pgMar w:left="460" w:top="219" w:right="459" w:bottom="1022"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jc w:val="center"/>
              <w:ind w:right="39"/>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20" w:type="dxa"/>
            <w:vAlign w:val="bottom"/>
          </w:tcPr>
          <w:p>
            <w:pPr>
              <w:jc w:val="center"/>
              <w:ind w:left="44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ind w:left="2"/>
              <w:spacing w:after="0"/>
              <w:rPr>
                <w:sz w:val="20"/>
                <w:szCs w:val="20"/>
                <w:color w:val="auto"/>
              </w:rPr>
            </w:pPr>
            <w:r>
              <w:rPr>
                <w:rFonts w:ascii="Arial" w:cs="Arial" w:eastAsia="Arial" w:hAnsi="Arial"/>
                <w:sz w:val="12"/>
                <w:szCs w:val="12"/>
                <w:b w:val="1"/>
                <w:bCs w:val="1"/>
                <w:color w:val="auto"/>
                <w:w w:val="99"/>
              </w:rPr>
              <w:t>(A) or</w:t>
            </w:r>
          </w:p>
        </w:tc>
        <w:tc>
          <w:tcPr>
            <w:tcW w:w="90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20" w:type="dxa"/>
            <w:vAlign w:val="bottom"/>
            <w:vMerge w:val="restart"/>
          </w:tcPr>
          <w:p>
            <w:pPr>
              <w:jc w:val="center"/>
              <w:ind w:left="445"/>
              <w:spacing w:after="0"/>
              <w:rPr>
                <w:sz w:val="20"/>
                <w:szCs w:val="20"/>
                <w:color w:val="auto"/>
              </w:rPr>
            </w:pPr>
            <w:r>
              <w:rPr>
                <w:rFonts w:ascii="Times New Roman" w:cs="Times New Roman" w:eastAsia="Times New Roman" w:hAnsi="Times New Roman"/>
                <w:sz w:val="17"/>
                <w:szCs w:val="17"/>
                <w:color w:val="0000FF"/>
              </w:rPr>
              <w:t>06/10/2026</w:t>
            </w:r>
          </w:p>
        </w:tc>
        <w:tc>
          <w:tcPr>
            <w:tcW w:w="1120" w:type="dxa"/>
            <w:vAlign w:val="bottom"/>
          </w:tcPr>
          <w:p>
            <w:pPr>
              <w:spacing w:after="0"/>
              <w:rPr>
                <w:sz w:val="18"/>
                <w:szCs w:val="18"/>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7,386</w:t>
            </w:r>
          </w:p>
        </w:tc>
        <w:tc>
          <w:tcPr>
            <w:tcW w:w="520" w:type="dxa"/>
            <w:vAlign w:val="bottom"/>
            <w:vMerge w:val="restart"/>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396.09</w:t>
            </w:r>
            <w:r>
              <w:rPr>
                <w:rFonts w:ascii="Times New Roman" w:cs="Times New Roman" w:eastAsia="Times New Roman" w:hAnsi="Times New Roman"/>
                <w:sz w:val="22"/>
                <w:szCs w:val="22"/>
                <w:color w:val="008000"/>
                <w:w w:val="99"/>
                <w:vertAlign w:val="superscript"/>
              </w:rPr>
              <w:t>(15)</w:t>
            </w:r>
          </w:p>
        </w:tc>
        <w:tc>
          <w:tcPr>
            <w:tcW w:w="1040" w:type="dxa"/>
            <w:vAlign w:val="bottom"/>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8"/>
              </w:rPr>
              <w:t>48,660</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32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43"/>
        </w:trPr>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81"/>
        </w:trPr>
        <w:tc>
          <w:tcPr>
            <w:tcW w:w="232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20" w:type="dxa"/>
            <w:vAlign w:val="bottom"/>
            <w:vMerge w:val="restart"/>
          </w:tcPr>
          <w:p>
            <w:pPr>
              <w:jc w:val="center"/>
              <w:ind w:left="445"/>
              <w:spacing w:after="0"/>
              <w:rPr>
                <w:sz w:val="20"/>
                <w:szCs w:val="20"/>
                <w:color w:val="auto"/>
              </w:rPr>
            </w:pPr>
            <w:r>
              <w:rPr>
                <w:rFonts w:ascii="Times New Roman" w:cs="Times New Roman" w:eastAsia="Times New Roman" w:hAnsi="Times New Roman"/>
                <w:sz w:val="17"/>
                <w:szCs w:val="17"/>
                <w:color w:val="0000FF"/>
              </w:rPr>
              <w:t>06/10/2026</w:t>
            </w:r>
          </w:p>
        </w:tc>
        <w:tc>
          <w:tcPr>
            <w:tcW w:w="1120" w:type="dxa"/>
            <w:vAlign w:val="bottom"/>
          </w:tcPr>
          <w:p>
            <w:pPr>
              <w:spacing w:after="0"/>
              <w:rPr>
                <w:sz w:val="18"/>
                <w:szCs w:val="18"/>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4,014</w:t>
            </w:r>
          </w:p>
        </w:tc>
        <w:tc>
          <w:tcPr>
            <w:tcW w:w="520" w:type="dxa"/>
            <w:vAlign w:val="bottom"/>
            <w:vMerge w:val="restart"/>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397.11</w:t>
            </w:r>
            <w:r>
              <w:rPr>
                <w:rFonts w:ascii="Times New Roman" w:cs="Times New Roman" w:eastAsia="Times New Roman" w:hAnsi="Times New Roman"/>
                <w:sz w:val="22"/>
                <w:szCs w:val="22"/>
                <w:color w:val="008000"/>
                <w:w w:val="99"/>
                <w:vertAlign w:val="superscript"/>
              </w:rPr>
              <w:t>(16)</w:t>
            </w:r>
          </w:p>
        </w:tc>
        <w:tc>
          <w:tcPr>
            <w:tcW w:w="1040" w:type="dxa"/>
            <w:vAlign w:val="bottom"/>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8"/>
              </w:rPr>
              <w:t>44,645</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32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43"/>
        </w:trPr>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81"/>
        </w:trPr>
        <w:tc>
          <w:tcPr>
            <w:tcW w:w="232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20" w:type="dxa"/>
            <w:vAlign w:val="bottom"/>
            <w:vMerge w:val="restart"/>
          </w:tcPr>
          <w:p>
            <w:pPr>
              <w:jc w:val="center"/>
              <w:ind w:left="445"/>
              <w:spacing w:after="0"/>
              <w:rPr>
                <w:sz w:val="20"/>
                <w:szCs w:val="20"/>
                <w:color w:val="auto"/>
              </w:rPr>
            </w:pPr>
            <w:r>
              <w:rPr>
                <w:rFonts w:ascii="Times New Roman" w:cs="Times New Roman" w:eastAsia="Times New Roman" w:hAnsi="Times New Roman"/>
                <w:sz w:val="17"/>
                <w:szCs w:val="17"/>
                <w:color w:val="0000FF"/>
              </w:rPr>
              <w:t>06/10/2026</w:t>
            </w:r>
          </w:p>
        </w:tc>
        <w:tc>
          <w:tcPr>
            <w:tcW w:w="1120" w:type="dxa"/>
            <w:vAlign w:val="bottom"/>
          </w:tcPr>
          <w:p>
            <w:pPr>
              <w:spacing w:after="0"/>
              <w:rPr>
                <w:sz w:val="18"/>
                <w:szCs w:val="18"/>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6,157</w:t>
            </w:r>
          </w:p>
        </w:tc>
        <w:tc>
          <w:tcPr>
            <w:tcW w:w="520" w:type="dxa"/>
            <w:vAlign w:val="bottom"/>
            <w:vMerge w:val="restart"/>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398.07</w:t>
            </w:r>
            <w:r>
              <w:rPr>
                <w:rFonts w:ascii="Times New Roman" w:cs="Times New Roman" w:eastAsia="Times New Roman" w:hAnsi="Times New Roman"/>
                <w:sz w:val="22"/>
                <w:szCs w:val="22"/>
                <w:color w:val="008000"/>
                <w:w w:val="99"/>
                <w:vertAlign w:val="superscript"/>
              </w:rPr>
              <w:t>(17)</w:t>
            </w:r>
          </w:p>
        </w:tc>
        <w:tc>
          <w:tcPr>
            <w:tcW w:w="1040" w:type="dxa"/>
            <w:vAlign w:val="bottom"/>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8"/>
              </w:rPr>
              <w:t>38,488</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32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43"/>
        </w:trPr>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81"/>
        </w:trPr>
        <w:tc>
          <w:tcPr>
            <w:tcW w:w="232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20" w:type="dxa"/>
            <w:vAlign w:val="bottom"/>
            <w:vMerge w:val="restart"/>
          </w:tcPr>
          <w:p>
            <w:pPr>
              <w:jc w:val="center"/>
              <w:ind w:left="445"/>
              <w:spacing w:after="0"/>
              <w:rPr>
                <w:sz w:val="20"/>
                <w:szCs w:val="20"/>
                <w:color w:val="auto"/>
              </w:rPr>
            </w:pPr>
            <w:r>
              <w:rPr>
                <w:rFonts w:ascii="Times New Roman" w:cs="Times New Roman" w:eastAsia="Times New Roman" w:hAnsi="Times New Roman"/>
                <w:sz w:val="17"/>
                <w:szCs w:val="17"/>
                <w:color w:val="0000FF"/>
              </w:rPr>
              <w:t>06/10/2026</w:t>
            </w:r>
          </w:p>
        </w:tc>
        <w:tc>
          <w:tcPr>
            <w:tcW w:w="1120" w:type="dxa"/>
            <w:vAlign w:val="bottom"/>
          </w:tcPr>
          <w:p>
            <w:pPr>
              <w:spacing w:after="0"/>
              <w:rPr>
                <w:sz w:val="18"/>
                <w:szCs w:val="18"/>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0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896</w:t>
            </w:r>
          </w:p>
        </w:tc>
        <w:tc>
          <w:tcPr>
            <w:tcW w:w="520" w:type="dxa"/>
            <w:vAlign w:val="bottom"/>
            <w:vMerge w:val="restart"/>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398.73</w:t>
            </w:r>
            <w:r>
              <w:rPr>
                <w:rFonts w:ascii="Times New Roman" w:cs="Times New Roman" w:eastAsia="Times New Roman" w:hAnsi="Times New Roman"/>
                <w:sz w:val="22"/>
                <w:szCs w:val="22"/>
                <w:color w:val="008000"/>
                <w:w w:val="99"/>
                <w:vertAlign w:val="superscript"/>
              </w:rPr>
              <w:t>(18)</w:t>
            </w:r>
          </w:p>
        </w:tc>
        <w:tc>
          <w:tcPr>
            <w:tcW w:w="1040" w:type="dxa"/>
            <w:vAlign w:val="bottom"/>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8"/>
              </w:rPr>
              <w:t>37,592</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32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43"/>
        </w:trPr>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81"/>
        </w:trPr>
        <w:tc>
          <w:tcPr>
            <w:tcW w:w="232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26"/>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9"/>
              </w:rPr>
              <w:t>9,359</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107"/>
        </w:trPr>
        <w:tc>
          <w:tcPr>
            <w:tcW w:w="232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191" w:right="359" w:bottom="0" w:gutter="0" w:footer="0" w:header="0"/>
        </w:sectPr>
      </w:pPr>
    </w:p>
    <w:p>
      <w:pPr>
        <w:ind w:left="10120"/>
        <w:spacing w:after="0" w:line="185" w:lineRule="auto"/>
        <w:rPr>
          <w:sz w:val="20"/>
          <w:szCs w:val="20"/>
          <w:color w:val="auto"/>
        </w:rPr>
      </w:pPr>
      <w:r>
        <w:rPr>
          <w:rFonts w:ascii="Times New Roman" w:cs="Times New Roman" w:eastAsia="Times New Roman" w:hAnsi="Times New Roman"/>
          <w:sz w:val="12"/>
          <w:szCs w:val="12"/>
          <w:color w:val="0000FF"/>
        </w:rPr>
        <w:t>Lake</w:t>
      </w:r>
    </w:p>
    <w:p>
      <w:pPr>
        <w:sectPr>
          <w:pgSz w:w="11900" w:h="16838" w:orient="portrait"/>
          <w:cols w:equalWidth="0" w:num="1">
            <w:col w:w="11080"/>
          </w:cols>
          <w:pgMar w:left="460" w:top="191" w:right="359" w:bottom="0" w:gutter="0" w:footer="0" w:header="0"/>
          <w:type w:val="continuous"/>
        </w:sectPr>
      </w:pPr>
    </w:p>
    <w:p>
      <w:pPr>
        <w:ind w:left="10120"/>
        <w:spacing w:after="0"/>
        <w:rPr>
          <w:sz w:val="20"/>
          <w:szCs w:val="20"/>
          <w:color w:val="auto"/>
        </w:rPr>
      </w:pPr>
      <w:r>
        <w:rPr>
          <w:rFonts w:ascii="Times New Roman" w:cs="Times New Roman" w:eastAsia="Times New Roman" w:hAnsi="Times New Roman"/>
          <w:sz w:val="17"/>
          <w:szCs w:val="17"/>
          <w:color w:val="0000FF"/>
        </w:rPr>
        <w:t>Group,</w:t>
      </w:r>
    </w:p>
    <w:p>
      <w:pPr>
        <w:ind w:left="10120"/>
        <w:spacing w:after="0" w:line="185" w:lineRule="auto"/>
        <w:rPr>
          <w:sz w:val="20"/>
          <w:szCs w:val="20"/>
          <w:color w:val="auto"/>
        </w:rPr>
      </w:pPr>
      <w:r>
        <w:rPr>
          <w:rFonts w:ascii="Times New Roman" w:cs="Times New Roman" w:eastAsia="Times New Roman" w:hAnsi="Times New Roman"/>
          <w:sz w:val="26"/>
          <w:szCs w:val="26"/>
          <w:color w:val="0000FF"/>
          <w:vertAlign w:val="subscript"/>
        </w:rPr>
        <w:t>L.L.C.</w:t>
      </w:r>
      <w:r>
        <w:rPr>
          <w:rFonts w:ascii="Times New Roman" w:cs="Times New Roman" w:eastAsia="Times New Roman" w:hAnsi="Times New Roman"/>
          <w:sz w:val="10"/>
          <w:szCs w:val="10"/>
          <w:color w:val="008000"/>
        </w:rPr>
        <w:t>(4)(5)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w w:val="99"/>
              </w:rPr>
              <w:t>4,845</w:t>
            </w:r>
          </w:p>
        </w:tc>
        <w:tc>
          <w:tcPr>
            <w:tcW w:w="560" w:type="dxa"/>
            <w:vAlign w:val="bottom"/>
            <w:vMerge w:val="restart"/>
          </w:tcPr>
          <w:p>
            <w:pPr>
              <w:jc w:val="center"/>
              <w:ind w:right="253"/>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540" w:type="dxa"/>
            <w:vAlign w:val="bottom"/>
            <w:tcBorders>
              <w:top w:val="single" w:sz="8" w:color="2C2C2C"/>
            </w:tcBorders>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0000FF"/>
              </w:rPr>
              <w:t>164,214</w:t>
            </w:r>
          </w:p>
        </w:tc>
        <w:tc>
          <w:tcPr>
            <w:tcW w:w="560" w:type="dxa"/>
            <w:vAlign w:val="bottom"/>
            <w:tcBorders>
              <w:top w:val="single" w:sz="8" w:color="2C2C2C"/>
            </w:tcBorders>
            <w:vMerge w:val="restart"/>
          </w:tcPr>
          <w:p>
            <w:pPr>
              <w:jc w:val="center"/>
              <w:ind w:right="253"/>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9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540" w:type="dxa"/>
            <w:vAlign w:val="bottom"/>
            <w:tcBorders>
              <w:top w:val="single" w:sz="8" w:color="2C2C2C"/>
              <w:bottom w:val="single" w:sz="8" w:color="2C2C2C"/>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0000FF"/>
              </w:rPr>
              <w:t>1,317,963</w:t>
            </w:r>
          </w:p>
        </w:tc>
        <w:tc>
          <w:tcPr>
            <w:tcW w:w="560" w:type="dxa"/>
            <w:vAlign w:val="bottom"/>
            <w:tcBorders>
              <w:top w:val="single" w:sz="8" w:color="2C2C2C"/>
              <w:bottom w:val="single" w:sz="8" w:color="2C2C2C"/>
            </w:tcBorders>
          </w:tcPr>
          <w:p>
            <w:pPr>
              <w:jc w:val="center"/>
              <w:ind w:right="253"/>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(8)</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w w:val="98"/>
              </w:rPr>
              <w:t>47,234</w:t>
            </w:r>
          </w:p>
        </w:tc>
        <w:tc>
          <w:tcPr>
            <w:tcW w:w="560" w:type="dxa"/>
            <w:vAlign w:val="bottom"/>
            <w:vMerge w:val="restart"/>
          </w:tcPr>
          <w:p>
            <w:pPr>
              <w:jc w:val="center"/>
              <w:ind w:right="253"/>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540" w:type="dxa"/>
            <w:vAlign w:val="bottom"/>
            <w:tcBorders>
              <w:top w:val="single" w:sz="8" w:color="2C2C2C"/>
            </w:tcBorders>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w w:val="98"/>
              </w:rPr>
              <w:t>78,917</w:t>
            </w:r>
          </w:p>
        </w:tc>
        <w:tc>
          <w:tcPr>
            <w:tcW w:w="560" w:type="dxa"/>
            <w:vAlign w:val="bottom"/>
            <w:tcBorders>
              <w:top w:val="single" w:sz="8" w:color="2C2C2C"/>
            </w:tcBorders>
            <w:vMerge w:val="restart"/>
          </w:tcPr>
          <w:p>
            <w:pPr>
              <w:jc w:val="center"/>
              <w:ind w:right="253"/>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980" w:type="dxa"/>
            <w:vAlign w:val="bottom"/>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 Lake Partners IV,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SILVER LAKE</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2775 SAND HILL ROAD, SUITE 100</w:t>
      </w:r>
    </w:p>
    <w:p>
      <w:pPr>
        <w:sectPr>
          <w:pgSz w:w="11900" w:h="16838" w:orient="portrait"/>
          <w:cols w:equalWidth="0" w:num="1">
            <w:col w:w="11080"/>
          </w:cols>
          <w:pgMar w:left="460" w:top="191" w:right="359" w:bottom="0" w:gutter="0" w:footer="0" w:header="0"/>
          <w:type w:val="continuous"/>
        </w:sectPr>
      </w:pPr>
    </w:p>
    <w:bookmarkStart w:id="2" w:name="page3"/>
    <w:bookmarkEnd w:id="2"/>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-558800</wp:posOffset>
            </wp:positionV>
            <wp:extent cx="2809240" cy="7780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9240" cy="778065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Silver Lake Technology Associates IV,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5"/>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SLTA IV (GP),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5"/>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Silver Lake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280" w:type="dxa"/>
            <w:vAlign w:val="bottom"/>
            <w:gridSpan w:val="2"/>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Durban Egon</w:t>
              </w:r>
            </w:hyperlink>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10, 2026.</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w:t>
      </w:r>
    </w:p>
    <w:p>
      <w:pPr>
        <w:spacing w:after="0" w:line="11" w:lineRule="exact"/>
        <w:rPr>
          <w:rFonts w:ascii="Times New Roman" w:cs="Times New Roman" w:eastAsia="Times New Roman" w:hAnsi="Times New Roman"/>
          <w:sz w:val="13"/>
          <w:szCs w:val="13"/>
          <w:color w:val="008000"/>
        </w:rPr>
      </w:pPr>
    </w:p>
    <w:p>
      <w:pPr>
        <w:ind w:left="2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 or automatically upon certain transfers, and has no expiration date. On June 10, 2026, certain of the Reporting Persons converted shares of Class B Common Stock into an equal number of shares of Class C Common Stock in connection with the sales described in footnote (1) above.</w:t>
      </w:r>
    </w:p>
    <w:p>
      <w:pPr>
        <w:spacing w:after="0" w:line="21" w:lineRule="exact"/>
        <w:rPr>
          <w:rFonts w:ascii="Times New Roman" w:cs="Times New Roman" w:eastAsia="Times New Roman" w:hAnsi="Times New Roman"/>
          <w:sz w:val="13"/>
          <w:szCs w:val="13"/>
          <w:color w:val="008000"/>
        </w:rPr>
      </w:pPr>
    </w:p>
    <w:p>
      <w:pPr>
        <w:ind w:left="20" w:right="3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Partners IV, L.P. The general partner of Silver Lake Partners IV, L.P. is Silver Lake Technology Associates IV, L.P. and the general partner of Silver Lake Technology Associates IV, L.P. is SLTA IV (GP), L.L.C.</w:t>
      </w:r>
    </w:p>
    <w:p>
      <w:pPr>
        <w:spacing w:after="0" w:line="7" w:lineRule="exact"/>
        <w:rPr>
          <w:rFonts w:ascii="Times New Roman" w:cs="Times New Roman" w:eastAsia="Times New Roman" w:hAnsi="Times New Roman"/>
          <w:sz w:val="13"/>
          <w:szCs w:val="13"/>
          <w:color w:val="008000"/>
        </w:rPr>
      </w:pPr>
    </w:p>
    <w:p>
      <w:pPr>
        <w:ind w:left="20" w:right="2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Group, L.L.C. ("SLG") is the managing member of SLTA IV (GP), L.L.C. Egon Durban, who serves as a director of the Issuer, also serves as a Co-CEO and Managing Member of SLG. Each of the Reporting Persons may be deemed a director by deputization of the Issuer.</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C Common Stock held by SLG.</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entities in which Mr. Durban may be deemed to have an indirect pecuniary interest.</w:t>
      </w:r>
    </w:p>
    <w:p>
      <w:pPr>
        <w:spacing w:after="0" w:line="50" w:lineRule="exact"/>
        <w:rPr>
          <w:rFonts w:ascii="Times New Roman" w:cs="Times New Roman" w:eastAsia="Times New Roman" w:hAnsi="Times New Roman"/>
          <w:sz w:val="13"/>
          <w:szCs w:val="13"/>
          <w:color w:val="008000"/>
        </w:rPr>
      </w:pPr>
    </w:p>
    <w:p>
      <w:pPr>
        <w:ind w:left="20" w:right="3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directly by Mr. Durban.</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w:t>
      </w:r>
    </w:p>
    <w:p>
      <w:pPr>
        <w:spacing w:after="0" w:line="50"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$390.3900 to $391.3700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21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$391.4600 to $392.4000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$392.5600 to $393.5500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ectPr>
          <w:pgSz w:w="11900" w:h="16937" w:orient="portrait"/>
          <w:cols w:equalWidth="0" w:num="1">
            <w:col w:w="10920"/>
          </w:cols>
          <w:pgMar w:left="480" w:top="125" w:right="499" w:bottom="0" w:gutter="0" w:footer="0" w:header="0"/>
        </w:sectPr>
      </w:pPr>
    </w:p>
    <w:bookmarkStart w:id="3" w:name="page4"/>
    <w:bookmarkEnd w:id="3"/>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$393.5800 to $394.5600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$394.5800 to $395.5700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$395.5800 to $396.5750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$396.6150 to $397.6000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$397.6100 to $398.6000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$398.6100 to $398.8300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24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49,369 shares of Class C Common Stock, Silver Lake Partners V DE (AIV), L.P. directly holds 29,548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3"/>
          <w:szCs w:val="13"/>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860"/>
          </w:cols>
          <w:pgMar w:left="500" w:top="180" w:right="539" w:bottom="1440" w:gutter="0" w:footer="0" w:header="0"/>
        </w:sectPr>
      </w:pP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53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IV, L.P.,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45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Silver Lake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282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53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61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53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901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261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295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680" w:space="60"/>
            <w:col w:w="2120"/>
          </w:cols>
          <w:pgMar w:left="500" w:top="180" w:right="5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8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13" Type="http://schemas.openxmlformats.org/officeDocument/2006/relationships/hyperlink" Target="http://www.sec.gov/cgi-bin/browse-edgar?action=getcompany&amp;CIK=0001552054" TargetMode="External"/><Relationship Id="rId14" Type="http://schemas.openxmlformats.org/officeDocument/2006/relationships/hyperlink" Target="http://www.sec.gov/cgi-bin/browse-edgar?action=getcompany&amp;CIK=0001571996" TargetMode="External"/><Relationship Id="rId18" Type="http://schemas.openxmlformats.org/officeDocument/2006/relationships/hyperlink" Target="http://www.sec.gov/cgi-bin/browse-edgar?action=getcompany&amp;CIK=0001672566" TargetMode="External"/><Relationship Id="rId19" Type="http://schemas.openxmlformats.org/officeDocument/2006/relationships/hyperlink" Target="http://www.sec.gov/cgi-bin/browse-edgar?action=getcompany&amp;CIK=0001672568" TargetMode="External"/><Relationship Id="rId20" Type="http://schemas.openxmlformats.org/officeDocument/2006/relationships/hyperlink" Target="http://www.sec.gov/cgi-bin/browse-edgar?action=getcompany&amp;CIK=0001418226" TargetMode="External"/><Relationship Id="rId21"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2026-06-12T16:53:53Z</dcterms:created>
  <dcterms:modified xsi:type="dcterms:W3CDTF">2026-06-12T16:53:53Z</dcterms:modified>
</cp:coreProperties>
</file>