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0001737659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Dell Technologies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001-37867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One Dell Way</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Round Rock</w:t>
      </w:r>
    </w:p>
    <w:p>
      <w:pPr>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78682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800-289-3355</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Silver Lake Partners V DE (AIV), L.P.</w:t>
      </w:r>
    </w:p>
    <w:p>
      <w:pPr>
        <w:spacing w:after="0" w:line="56" w:lineRule="exact"/>
        <w:rPr>
          <w:sz w:val="24"/>
          <w:szCs w:val="24"/>
          <w:color w:val="auto"/>
        </w:rPr>
      </w:pPr>
    </w:p>
    <w:p>
      <w:pPr>
        <w:sectPr>
          <w:pgSz w:w="11900" w:h="16838" w:orient="portrait"/>
          <w:cols w:equalWidth="0" w:num="2">
            <w:col w:w="6360" w:space="720"/>
            <w:col w:w="416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See Remarks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Merrill Lynch, Pierce,</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Fenner &amp; Smith Inc.</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 Common Stock</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555 California Street</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18th Floor</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San Francisco  CA</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94104</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00" w:type="dxa"/>
            <w:vAlign w:val="bottom"/>
            <w:vMerge w:val="restart"/>
          </w:tcPr>
          <w:p>
            <w:pPr>
              <w:jc w:val="right"/>
              <w:ind w:right="12"/>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3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3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4"/>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97677</w:t>
            </w:r>
          </w:p>
        </w:tc>
        <w:tc>
          <w:tcPr>
            <w:tcW w:w="1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18022383.27</w:t>
            </w:r>
          </w:p>
        </w:tc>
        <w:tc>
          <w:tcPr>
            <w:tcW w:w="13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rPr>
              <w:t>318358135</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04/15/2026   NYSE</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ectPr>
          <w:pgSz w:w="11900" w:h="16838" w:orient="portrait"/>
          <w:cols w:equalWidth="0" w:num="1">
            <w:col w:w="11240"/>
          </w:cols>
          <w:pgMar w:left="320" w:top="261" w:right="339" w:bottom="0" w:gutter="0" w:footer="0" w:header="0"/>
          <w:type w:val="continuous"/>
        </w:sectPr>
      </w:pPr>
    </w:p>
    <w:p>
      <w:pPr>
        <w:spacing w:after="0" w:line="363" w:lineRule="exact"/>
        <w:rPr>
          <w:sz w:val="24"/>
          <w:szCs w:val="24"/>
          <w:color w:val="auto"/>
        </w:rPr>
      </w:pPr>
    </w:p>
    <w:p>
      <w:pPr>
        <w:ind w:left="260"/>
        <w:spacing w:after="0"/>
        <w:tabs>
          <w:tab w:leader="none" w:pos="1580" w:val="left"/>
          <w:tab w:leader="none" w:pos="2920" w:val="left"/>
          <w:tab w:leader="none" w:pos="4560" w:val="left"/>
          <w:tab w:leader="none" w:pos="5880" w:val="left"/>
          <w:tab w:leader="none" w:pos="648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ectPr>
          <w:pgSz w:w="11900" w:h="16838" w:orient="portrait"/>
          <w:cols w:equalWidth="0" w:num="1">
            <w:col w:w="11240"/>
          </w:cols>
          <w:pgMar w:left="320" w:top="261"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420" w:type="dxa"/>
            <w:vAlign w:val="bottom"/>
          </w:tcPr>
          <w:p>
            <w:pPr>
              <w:ind w:left="480"/>
              <w:spacing w:after="0"/>
              <w:rPr>
                <w:sz w:val="20"/>
                <w:szCs w:val="20"/>
                <w:color w:val="auto"/>
              </w:rPr>
            </w:pPr>
            <w:r>
              <w:rPr>
                <w:rFonts w:ascii="Times New Roman" w:cs="Times New Roman" w:eastAsia="Times New Roman" w:hAnsi="Times New Roman"/>
                <w:sz w:val="22"/>
                <w:szCs w:val="22"/>
                <w:b w:val="1"/>
                <w:bCs w:val="1"/>
                <w:color w:val="auto"/>
              </w:rPr>
              <w:t>Class</w:t>
            </w:r>
          </w:p>
        </w:tc>
        <w:tc>
          <w:tcPr>
            <w:tcW w:w="10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ind w:left="320"/>
              <w:spacing w:after="0"/>
              <w:rPr>
                <w:sz w:val="20"/>
                <w:szCs w:val="20"/>
                <w:color w:val="auto"/>
              </w:rPr>
            </w:pPr>
            <w:r>
              <w:rPr>
                <w:rFonts w:ascii="Times New Roman" w:cs="Times New Roman" w:eastAsia="Times New Roman" w:hAnsi="Times New Roman"/>
                <w:sz w:val="22"/>
                <w:szCs w:val="22"/>
                <w:b w:val="1"/>
                <w:bCs w:val="1"/>
                <w:color w:val="auto"/>
              </w:rPr>
              <w:t>Acquisition</w:t>
            </w: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Person from</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Donor</w:t>
            </w:r>
          </w:p>
        </w:tc>
        <w:tc>
          <w:tcPr>
            <w:tcW w:w="122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Securities</w:t>
            </w:r>
          </w:p>
        </w:tc>
        <w:tc>
          <w:tcPr>
            <w:tcW w:w="1080" w:type="dxa"/>
            <w:vAlign w:val="bottom"/>
          </w:tcPr>
          <w:p>
            <w:pPr>
              <w:ind w:left="200"/>
              <w:spacing w:after="0"/>
              <w:rPr>
                <w:sz w:val="20"/>
                <w:szCs w:val="20"/>
                <w:color w:val="auto"/>
              </w:rPr>
            </w:pPr>
            <w:r>
              <w:rPr>
                <w:rFonts w:ascii="Times New Roman" w:cs="Times New Roman" w:eastAsia="Times New Roman" w:hAnsi="Times New Roman"/>
                <w:sz w:val="22"/>
                <w:szCs w:val="22"/>
                <w:b w:val="1"/>
                <w:bCs w:val="1"/>
                <w:color w:val="auto"/>
              </w:rPr>
              <w:t>Payment</w:t>
            </w:r>
          </w:p>
        </w:tc>
        <w:tc>
          <w:tcPr>
            <w:tcW w:w="1600" w:type="dxa"/>
            <w:vAlign w:val="bottom"/>
          </w:tcPr>
          <w:p>
            <w:pPr>
              <w:ind w:left="400"/>
              <w:spacing w:after="0"/>
              <w:rPr>
                <w:sz w:val="20"/>
                <w:szCs w:val="20"/>
                <w:color w:val="auto"/>
              </w:rPr>
            </w:pPr>
            <w:r>
              <w:rPr>
                <w:rFonts w:ascii="Times New Roman" w:cs="Times New Roman" w:eastAsia="Times New Roman" w:hAnsi="Times New Roman"/>
                <w:sz w:val="22"/>
                <w:szCs w:val="22"/>
                <w:b w:val="1"/>
                <w:bCs w:val="1"/>
                <w:color w:val="auto"/>
              </w:rPr>
              <w:t>Payment *</w:t>
            </w: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300"/>
              <w:spacing w:after="0" w:line="243" w:lineRule="exact"/>
              <w:rPr>
                <w:sz w:val="20"/>
                <w:szCs w:val="20"/>
                <w:color w:val="auto"/>
              </w:rPr>
            </w:pPr>
            <w:r>
              <w:rPr>
                <w:rFonts w:ascii="Times New Roman" w:cs="Times New Roman" w:eastAsia="Times New Roman" w:hAnsi="Times New Roman"/>
                <w:sz w:val="22"/>
                <w:szCs w:val="22"/>
                <w:b w:val="1"/>
                <w:bCs w:val="1"/>
                <w:color w:val="auto"/>
              </w:rPr>
              <w:t>Transaction</w:t>
            </w:r>
          </w:p>
        </w:tc>
        <w:tc>
          <w:tcPr>
            <w:tcW w:w="146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ind w:left="22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4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46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4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4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Acquired upon</w:t>
            </w:r>
          </w:p>
        </w:tc>
        <w:tc>
          <w:tcPr>
            <w:tcW w:w="14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Conversion of</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4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40" w:type="dxa"/>
            <w:vAlign w:val="bottom"/>
          </w:tcPr>
          <w:p>
            <w:pPr>
              <w:ind w:left="20"/>
              <w:spacing w:after="0" w:line="243" w:lineRule="exact"/>
              <w:rPr>
                <w:sz w:val="20"/>
                <w:szCs w:val="20"/>
                <w:color w:val="auto"/>
              </w:rPr>
            </w:pPr>
            <w:r>
              <w:rPr>
                <w:rFonts w:ascii="Times New Roman" w:cs="Times New Roman" w:eastAsia="Times New Roman" w:hAnsi="Times New Roman"/>
                <w:sz w:val="22"/>
                <w:szCs w:val="22"/>
                <w:color w:val="auto"/>
              </w:rPr>
              <w:t>Class B Common</w:t>
            </w:r>
          </w:p>
        </w:tc>
        <w:tc>
          <w:tcPr>
            <w:tcW w:w="14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600" w:type="dxa"/>
            <w:vAlign w:val="bottom"/>
            <w:vMerge w:val="restart"/>
          </w:tcPr>
          <w:p>
            <w:pPr>
              <w:ind w:left="80"/>
              <w:spacing w:after="0"/>
              <w:rPr>
                <w:sz w:val="20"/>
                <w:szCs w:val="20"/>
                <w:color w:val="auto"/>
              </w:rPr>
            </w:pPr>
            <w:r>
              <w:rPr>
                <w:rFonts w:ascii="Times New Roman" w:cs="Times New Roman" w:eastAsia="Times New Roman" w:hAnsi="Times New Roman"/>
                <w:sz w:val="22"/>
                <w:szCs w:val="22"/>
                <w:color w:val="auto"/>
              </w:rPr>
              <w:t>Conversion of</w:t>
            </w:r>
          </w:p>
        </w:tc>
        <w:tc>
          <w:tcPr>
            <w:tcW w:w="0" w:type="dxa"/>
            <w:vAlign w:val="bottom"/>
          </w:tcPr>
          <w:p>
            <w:pPr>
              <w:spacing w:after="0"/>
              <w:rPr>
                <w:sz w:val="1"/>
                <w:szCs w:val="1"/>
                <w:color w:val="auto"/>
              </w:rPr>
            </w:pPr>
          </w:p>
        </w:tc>
      </w:tr>
      <w:tr>
        <w:trPr>
          <w:trHeight w:val="121"/>
        </w:trPr>
        <w:tc>
          <w:tcPr>
            <w:tcW w:w="14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C</w:t>
            </w:r>
          </w:p>
        </w:tc>
        <w:tc>
          <w:tcPr>
            <w:tcW w:w="1080" w:type="dxa"/>
            <w:vAlign w:val="bottom"/>
          </w:tcPr>
          <w:p>
            <w:pPr>
              <w:spacing w:after="0"/>
              <w:rPr>
                <w:sz w:val="10"/>
                <w:szCs w:val="10"/>
                <w:color w:val="auto"/>
              </w:rPr>
            </w:pPr>
          </w:p>
        </w:tc>
        <w:tc>
          <w:tcPr>
            <w:tcW w:w="164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Stock of the</w:t>
            </w:r>
          </w:p>
        </w:tc>
        <w:tc>
          <w:tcPr>
            <w:tcW w:w="14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420" w:type="dxa"/>
            <w:vAlign w:val="bottom"/>
            <w:vMerge w:val="continue"/>
          </w:tcPr>
          <w:p>
            <w:pPr>
              <w:spacing w:after="0"/>
              <w:rPr>
                <w:sz w:val="18"/>
                <w:szCs w:val="18"/>
                <w:color w:val="auto"/>
              </w:rPr>
            </w:pPr>
          </w:p>
        </w:tc>
        <w:tc>
          <w:tcPr>
            <w:tcW w:w="1080" w:type="dxa"/>
            <w:vAlign w:val="bottom"/>
          </w:tcPr>
          <w:p>
            <w:pPr>
              <w:jc w:val="right"/>
              <w:spacing w:after="0" w:line="217" w:lineRule="exact"/>
              <w:rPr>
                <w:sz w:val="20"/>
                <w:szCs w:val="20"/>
                <w:color w:val="auto"/>
              </w:rPr>
            </w:pPr>
            <w:r>
              <w:rPr>
                <w:rFonts w:ascii="Times New Roman" w:cs="Times New Roman" w:eastAsia="Times New Roman" w:hAnsi="Times New Roman"/>
                <w:sz w:val="22"/>
                <w:szCs w:val="22"/>
                <w:color w:val="auto"/>
              </w:rPr>
              <w:t>04/15/2026</w:t>
            </w:r>
          </w:p>
        </w:tc>
        <w:tc>
          <w:tcPr>
            <w:tcW w:w="1640" w:type="dxa"/>
            <w:vAlign w:val="bottom"/>
            <w:vMerge w:val="continue"/>
          </w:tcPr>
          <w:p>
            <w:pPr>
              <w:spacing w:after="0"/>
              <w:rPr>
                <w:sz w:val="18"/>
                <w:szCs w:val="18"/>
                <w:color w:val="auto"/>
              </w:rPr>
            </w:pPr>
          </w:p>
        </w:tc>
        <w:tc>
          <w:tcPr>
            <w:tcW w:w="1460" w:type="dxa"/>
            <w:vAlign w:val="bottom"/>
          </w:tcPr>
          <w:p>
            <w:pPr>
              <w:ind w:left="80"/>
              <w:spacing w:after="0" w:line="217" w:lineRule="exact"/>
              <w:rPr>
                <w:sz w:val="20"/>
                <w:szCs w:val="20"/>
                <w:color w:val="auto"/>
              </w:rPr>
            </w:pPr>
            <w:r>
              <w:rPr>
                <w:rFonts w:ascii="Times New Roman" w:cs="Times New Roman" w:eastAsia="Times New Roman" w:hAnsi="Times New Roman"/>
                <w:sz w:val="22"/>
                <w:szCs w:val="22"/>
                <w:color w:val="auto"/>
              </w:rPr>
              <w:t>Issuer</w:t>
            </w:r>
          </w:p>
        </w:tc>
        <w:tc>
          <w:tcPr>
            <w:tcW w:w="6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20" w:type="dxa"/>
            <w:vAlign w:val="bottom"/>
          </w:tcPr>
          <w:p>
            <w:pPr>
              <w:jc w:val="right"/>
              <w:ind w:right="552"/>
              <w:spacing w:after="0" w:line="217" w:lineRule="exact"/>
              <w:rPr>
                <w:sz w:val="20"/>
                <w:szCs w:val="20"/>
                <w:color w:val="auto"/>
              </w:rPr>
            </w:pPr>
            <w:r>
              <w:rPr>
                <w:rFonts w:ascii="Times New Roman" w:cs="Times New Roman" w:eastAsia="Times New Roman" w:hAnsi="Times New Roman"/>
                <w:sz w:val="22"/>
                <w:szCs w:val="22"/>
                <w:color w:val="auto"/>
                <w:w w:val="98"/>
              </w:rPr>
              <w:t>97677</w:t>
            </w:r>
          </w:p>
        </w:tc>
        <w:tc>
          <w:tcPr>
            <w:tcW w:w="2680" w:type="dxa"/>
            <w:vAlign w:val="bottom"/>
            <w:gridSpan w:val="2"/>
          </w:tcPr>
          <w:p>
            <w:pPr>
              <w:ind w:left="120"/>
              <w:spacing w:after="0" w:line="217" w:lineRule="exact"/>
              <w:rPr>
                <w:sz w:val="20"/>
                <w:szCs w:val="20"/>
                <w:color w:val="auto"/>
              </w:rPr>
            </w:pPr>
            <w:r>
              <w:rPr>
                <w:rFonts w:ascii="Times New Roman" w:cs="Times New Roman" w:eastAsia="Times New Roman" w:hAnsi="Times New Roman"/>
                <w:sz w:val="22"/>
                <w:szCs w:val="22"/>
                <w:color w:val="auto"/>
                <w:w w:val="97"/>
              </w:rPr>
              <w:t>04/15/2026 Class B Common</w:t>
            </w:r>
          </w:p>
        </w:tc>
        <w:tc>
          <w:tcPr>
            <w:tcW w:w="0" w:type="dxa"/>
            <w:vAlign w:val="bottom"/>
          </w:tcPr>
          <w:p>
            <w:pPr>
              <w:spacing w:after="0"/>
              <w:rPr>
                <w:sz w:val="1"/>
                <w:szCs w:val="1"/>
                <w:color w:val="auto"/>
              </w:rPr>
            </w:pPr>
          </w:p>
        </w:tc>
      </w:tr>
      <w:tr>
        <w:trPr>
          <w:trHeight w:val="51"/>
        </w:trPr>
        <w:tc>
          <w:tcPr>
            <w:tcW w:w="1420" w:type="dxa"/>
            <w:vAlign w:val="bottom"/>
          </w:tcPr>
          <w:p>
            <w:pPr>
              <w:spacing w:after="0" w:line="51" w:lineRule="exact"/>
              <w:rPr>
                <w:sz w:val="20"/>
                <w:szCs w:val="20"/>
                <w:color w:val="auto"/>
              </w:rPr>
            </w:pPr>
            <w:r>
              <w:rPr>
                <w:rFonts w:ascii="Times New Roman" w:cs="Times New Roman" w:eastAsia="Times New Roman" w:hAnsi="Times New Roman"/>
                <w:sz w:val="5"/>
                <w:szCs w:val="5"/>
                <w:color w:val="auto"/>
              </w:rPr>
              <w:t>Common Stock</w:t>
            </w:r>
          </w:p>
        </w:tc>
        <w:tc>
          <w:tcPr>
            <w:tcW w:w="1080" w:type="dxa"/>
            <w:vAlign w:val="bottom"/>
          </w:tcPr>
          <w:p>
            <w:pPr>
              <w:spacing w:after="0"/>
              <w:rPr>
                <w:sz w:val="4"/>
                <w:szCs w:val="4"/>
                <w:color w:val="auto"/>
              </w:rPr>
            </w:pPr>
          </w:p>
        </w:tc>
        <w:tc>
          <w:tcPr>
            <w:tcW w:w="1640" w:type="dxa"/>
            <w:vAlign w:val="bottom"/>
          </w:tcPr>
          <w:p>
            <w:pPr>
              <w:ind w:left="20"/>
              <w:spacing w:after="0" w:line="51" w:lineRule="exact"/>
              <w:rPr>
                <w:sz w:val="20"/>
                <w:szCs w:val="20"/>
                <w:color w:val="auto"/>
              </w:rPr>
            </w:pPr>
            <w:r>
              <w:rPr>
                <w:rFonts w:ascii="Times New Roman" w:cs="Times New Roman" w:eastAsia="Times New Roman" w:hAnsi="Times New Roman"/>
                <w:sz w:val="5"/>
                <w:szCs w:val="5"/>
                <w:color w:val="auto"/>
              </w:rPr>
              <w:t>Issuer, which</w:t>
            </w:r>
          </w:p>
        </w:tc>
        <w:tc>
          <w:tcPr>
            <w:tcW w:w="146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-142875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tbl>
      <w:tblPr>
        <w:tblLayout w:type="fixed"/>
        <w:tblInd w:w="2560" w:type="dxa"/>
        <w:tblCellMar>
          <w:top w:w="0" w:type="dxa"/>
          <w:left w:w="0" w:type="dxa"/>
          <w:bottom w:w="0" w:type="dxa"/>
          <w:right w:w="0" w:type="dxa"/>
        </w:tblCellMar>
      </w:tblPr>
      <w:tr>
        <w:trPr>
          <w:trHeight w:val="282"/>
        </w:trPr>
        <w:tc>
          <w:tcPr>
            <w:tcW w:w="42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Class B Common</w:t>
            </w:r>
          </w:p>
        </w:tc>
        <w:tc>
          <w:tcPr>
            <w:tcW w:w="3220" w:type="dxa"/>
            <w:vAlign w:val="bottom"/>
          </w:tcPr>
          <w:p>
            <w:pPr>
              <w:ind w:left="2740"/>
              <w:spacing w:after="0"/>
              <w:rPr>
                <w:sz w:val="20"/>
                <w:szCs w:val="20"/>
                <w:color w:val="auto"/>
              </w:rPr>
            </w:pPr>
            <w:r>
              <w:rPr>
                <w:rFonts w:ascii="Times New Roman" w:cs="Times New Roman" w:eastAsia="Times New Roman" w:hAnsi="Times New Roman"/>
                <w:sz w:val="22"/>
                <w:szCs w:val="22"/>
                <w:color w:val="auto"/>
                <w:w w:val="91"/>
              </w:rPr>
              <w:t>Stock</w:t>
            </w:r>
          </w:p>
        </w:tc>
        <w:tc>
          <w:tcPr>
            <w:tcW w:w="0" w:type="dxa"/>
            <w:vAlign w:val="bottom"/>
          </w:tcPr>
          <w:p>
            <w:pPr>
              <w:spacing w:after="0"/>
              <w:rPr>
                <w:sz w:val="1"/>
                <w:szCs w:val="1"/>
                <w:color w:val="auto"/>
              </w:rPr>
            </w:pPr>
          </w:p>
        </w:tc>
      </w:tr>
      <w:tr>
        <w:trPr>
          <w:trHeight w:val="58"/>
        </w:trPr>
        <w:tc>
          <w:tcPr>
            <w:tcW w:w="4260" w:type="dxa"/>
            <w:vAlign w:val="bottom"/>
            <w:vMerge w:val="continue"/>
          </w:tcPr>
          <w:p>
            <w:pPr>
              <w:spacing w:after="0"/>
              <w:rPr>
                <w:sz w:val="5"/>
                <w:szCs w:val="5"/>
                <w:color w:val="auto"/>
              </w:rPr>
            </w:pPr>
          </w:p>
        </w:tc>
        <w:tc>
          <w:tcPr>
            <w:tcW w:w="3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42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Stock was</w:t>
            </w:r>
          </w:p>
        </w:tc>
        <w:tc>
          <w:tcPr>
            <w:tcW w:w="3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4260" w:type="dxa"/>
            <w:vAlign w:val="bottom"/>
          </w:tcPr>
          <w:p>
            <w:pPr>
              <w:spacing w:after="0"/>
              <w:rPr>
                <w:sz w:val="20"/>
                <w:szCs w:val="20"/>
                <w:color w:val="auto"/>
              </w:rPr>
            </w:pPr>
            <w:r>
              <w:rPr>
                <w:rFonts w:ascii="Times New Roman" w:cs="Times New Roman" w:eastAsia="Times New Roman" w:hAnsi="Times New Roman"/>
                <w:sz w:val="22"/>
                <w:szCs w:val="22"/>
                <w:color w:val="auto"/>
              </w:rPr>
              <w:t>acquired in 2019.</w:t>
            </w:r>
          </w:p>
        </w:tc>
        <w:tc>
          <w:tcPr>
            <w:tcW w:w="3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4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1"/>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2"/>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2"/>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0" w:gutter="0" w:footer="0" w:header="0"/>
          <w:type w:val="continuous"/>
        </w:sect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208174</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31264600.32</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106670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16020227.87</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179400</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26943178.77</w:t>
            </w:r>
          </w:p>
        </w:tc>
      </w:tr>
      <w:tr>
        <w:trPr>
          <w:trHeight w:val="1147"/>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3967</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595783.67</w:t>
            </w:r>
          </w:p>
        </w:tc>
      </w:tr>
      <w:tr>
        <w:trPr>
          <w:trHeight w:val="1148"/>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03/02/2026 1789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rPr>
              <w:t>268680.86</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03/04/2026 212193</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31155473.69</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03/04/2026 108889</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15987748.44</w:t>
            </w:r>
          </w:p>
        </w:tc>
      </w:tr>
      <w:tr>
        <w:trPr>
          <w:trHeight w:val="1026"/>
        </w:trPr>
        <w:tc>
          <w:tcPr>
            <w:tcW w:w="2040" w:type="dxa"/>
            <w:vAlign w:val="bottom"/>
          </w:tcPr>
          <w:p>
            <w:pPr>
              <w:spacing w:after="0"/>
              <w:rPr>
                <w:sz w:val="20"/>
                <w:szCs w:val="20"/>
                <w:color w:val="auto"/>
              </w:rPr>
            </w:pPr>
            <w:r>
              <w:rPr>
                <w:rFonts w:ascii="Times New Roman" w:cs="Times New Roman" w:eastAsia="Times New Roman" w:hAnsi="Times New Roman"/>
                <w:sz w:val="22"/>
                <w:szCs w:val="22"/>
                <w:color w:val="auto"/>
              </w:rPr>
              <w:t>03/04/2026 183048</w:t>
            </w:r>
          </w:p>
        </w:tc>
        <w:tc>
          <w:tcPr>
            <w:tcW w:w="1480" w:type="dxa"/>
            <w:vAlign w:val="bottom"/>
          </w:tcPr>
          <w:p>
            <w:pPr>
              <w:ind w:left="340"/>
              <w:spacing w:after="0"/>
              <w:rPr>
                <w:sz w:val="20"/>
                <w:szCs w:val="20"/>
                <w:color w:val="auto"/>
              </w:rPr>
            </w:pPr>
            <w:r>
              <w:rPr>
                <w:rFonts w:ascii="Times New Roman" w:cs="Times New Roman" w:eastAsia="Times New Roman" w:hAnsi="Times New Roman"/>
                <w:sz w:val="22"/>
                <w:szCs w:val="22"/>
                <w:color w:val="auto"/>
                <w:w w:val="96"/>
              </w:rPr>
              <w:t>26876226.57</w:t>
            </w:r>
          </w:p>
        </w:tc>
      </w:tr>
    </w:tbl>
    <w:p>
      <w:pPr>
        <w:spacing w:after="0" w:line="378" w:lineRule="exact"/>
        <w:rPr>
          <w:sz w:val="20"/>
          <w:szCs w:val="20"/>
          <w:color w:val="auto"/>
        </w:rPr>
      </w:pPr>
    </w:p>
    <w:p>
      <w:pPr>
        <w:sectPr>
          <w:pgSz w:w="11900" w:h="16838" w:orient="portrait"/>
          <w:cols w:equalWidth="0" w:num="3">
            <w:col w:w="3600" w:space="60"/>
            <w:col w:w="2920" w:space="720"/>
            <w:col w:w="3940"/>
          </w:cols>
          <w:pgMar w:left="320" w:top="98" w:right="339" w:bottom="0" w:gutter="0" w:footer="0" w:header="0"/>
          <w:type w:val="continuous"/>
        </w:sectPr>
      </w:pPr>
    </w:p>
    <w:p>
      <w:pPr>
        <w:ind w:left="40" w:right="8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Class C Common Stock L.P.</w:t>
      </w:r>
    </w:p>
    <w:p>
      <w:pPr>
        <w:spacing w:after="0" w:line="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03/04/2026 4046</w:t>
            </w:r>
          </w:p>
        </w:tc>
        <w:tc>
          <w:tcPr>
            <w:tcW w:w="13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594058.32</w:t>
            </w:r>
          </w:p>
        </w:tc>
      </w:tr>
    </w:tbl>
    <w:p>
      <w:pPr>
        <w:sectPr>
          <w:pgSz w:w="11900" w:h="16838" w:orient="portrait"/>
          <w:cols w:equalWidth="0" w:num="2">
            <w:col w:w="6580" w:space="720"/>
            <w:col w:w="3940"/>
          </w:cols>
          <w:pgMar w:left="320" w:top="98" w:right="339" w:bottom="0" w:gutter="0" w:footer="0" w:header="0"/>
          <w:type w:val="continuous"/>
        </w:sectPr>
      </w:pPr>
    </w:p>
    <w:bookmarkStart w:id="2" w:name="page3"/>
    <w:bookmarkEnd w:id="2"/>
    <w:p>
      <w:pPr>
        <w:ind w:right="800"/>
        <w:spacing w:after="0" w:line="256"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 w:lineRule="exact"/>
        <w:rPr>
          <w:sz w:val="20"/>
          <w:szCs w:val="20"/>
          <w:color w:val="auto"/>
        </w:rPr>
      </w:pPr>
    </w:p>
    <w:p>
      <w:pPr>
        <w:ind w:righ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Group, L.L.C.</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III,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160"/>
        <w:spacing w:after="0" w:line="241" w:lineRule="auto"/>
        <w:rPr>
          <w:sz w:val="20"/>
          <w:szCs w:val="20"/>
          <w:color w:val="auto"/>
        </w:rPr>
      </w:pPr>
      <w:r>
        <w:rPr>
          <w:rFonts w:ascii="Times New Roman" w:cs="Times New Roman" w:eastAsia="Times New Roman" w:hAnsi="Times New Roman"/>
          <w:sz w:val="22"/>
          <w:szCs w:val="22"/>
          <w:color w:val="auto"/>
        </w:rPr>
        <w:t>Silver Lake Management Company IV,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Management Company V,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40"/>
        <w:spacing w:after="0" w:line="241" w:lineRule="auto"/>
        <w:rPr>
          <w:sz w:val="20"/>
          <w:szCs w:val="20"/>
          <w:color w:val="auto"/>
        </w:rPr>
      </w:pPr>
      <w:r>
        <w:rPr>
          <w:rFonts w:ascii="Times New Roman" w:cs="Times New Roman" w:eastAsia="Times New Roman" w:hAnsi="Times New Roman"/>
          <w:sz w:val="22"/>
          <w:szCs w:val="22"/>
          <w:color w:val="auto"/>
        </w:rPr>
        <w:t>Silver Lake Technology Management, L.L.C.</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 Silver Lake</w:t>
      </w:r>
    </w:p>
    <w:p>
      <w:pPr>
        <w:ind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03/04/2026 1824</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267810.61</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2366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347221.10</w:t>
            </w:r>
          </w:p>
        </w:tc>
      </w:tr>
      <w:tr>
        <w:trPr>
          <w:trHeight w:val="1148"/>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357</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52391.35</w:t>
            </w:r>
          </w:p>
        </w:tc>
      </w:tr>
      <w:tr>
        <w:trPr>
          <w:trHeight w:val="1269"/>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835</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122539.99</w:t>
            </w:r>
          </w:p>
        </w:tc>
      </w:tr>
      <w:tr>
        <w:trPr>
          <w:trHeight w:val="1269"/>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809</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118724.38</w:t>
            </w:r>
          </w:p>
        </w:tc>
      </w:tr>
      <w:tr>
        <w:trPr>
          <w:trHeight w:val="1269"/>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03/06/2026 50</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7337.72</w:t>
            </w:r>
          </w:p>
        </w:tc>
      </w:tr>
      <w:tr>
        <w:trPr>
          <w:trHeight w:val="1148"/>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98767</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15249682.08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50666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7822859.79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85262</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w w:val="96"/>
              </w:rPr>
              <w:t>13164502.25</w:t>
            </w:r>
          </w:p>
        </w:tc>
      </w:tr>
      <w:tr>
        <w:trPr>
          <w:trHeight w:val="1148"/>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1886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291199.49</w:t>
            </w:r>
          </w:p>
        </w:tc>
      </w:tr>
      <w:tr>
        <w:trPr>
          <w:trHeight w:val="1148"/>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03/17/2026 851</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131394.89</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41592</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6356034.91</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21343</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3261609.28</w:t>
            </w:r>
          </w:p>
        </w:tc>
      </w:tr>
      <w:tr>
        <w:trPr>
          <w:trHeight w:val="1026"/>
        </w:trPr>
        <w:tc>
          <w:tcPr>
            <w:tcW w:w="1980" w:type="dxa"/>
            <w:vAlign w:val="bottom"/>
          </w:tcPr>
          <w:p>
            <w:pPr>
              <w:spacing w:after="0"/>
              <w:rPr>
                <w:sz w:val="20"/>
                <w:szCs w:val="20"/>
                <w:color w:val="auto"/>
              </w:rPr>
            </w:pPr>
            <w:r>
              <w:rPr>
                <w:rFonts w:ascii="Times New Roman" w:cs="Times New Roman" w:eastAsia="Times New Roman" w:hAnsi="Times New Roman"/>
                <w:sz w:val="22"/>
                <w:szCs w:val="22"/>
                <w:color w:val="auto"/>
              </w:rPr>
              <w:t>03/18/2026 35906</w:t>
            </w:r>
          </w:p>
        </w:tc>
        <w:tc>
          <w:tcPr>
            <w:tcW w:w="15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5487107.85</w:t>
            </w:r>
          </w:p>
        </w:tc>
      </w:tr>
    </w:tbl>
    <w:p>
      <w:pPr>
        <w:spacing w:after="0" w:line="378" w:lineRule="exact"/>
        <w:rPr>
          <w:sz w:val="20"/>
          <w:szCs w:val="20"/>
          <w:color w:val="auto"/>
        </w:rPr>
      </w:pPr>
    </w:p>
    <w:p>
      <w:pPr>
        <w:sectPr>
          <w:pgSz w:w="11900" w:h="16838" w:orient="portrait"/>
          <w:cols w:equalWidth="0" w:num="3">
            <w:col w:w="3560" w:space="60"/>
            <w:col w:w="2920" w:space="720"/>
            <w:col w:w="3520"/>
          </w:cols>
          <w:pgMar w:left="360" w:top="111" w:right="759" w:bottom="0" w:gutter="0" w:footer="0" w:header="0"/>
        </w:sectPr>
      </w:pPr>
    </w:p>
    <w:p>
      <w:pPr>
        <w:spacing w:after="0"/>
        <w:tabs>
          <w:tab w:leader="none" w:pos="3600" w:val="left"/>
        </w:tabs>
        <w:rPr>
          <w:sz w:val="20"/>
          <w:szCs w:val="20"/>
          <w:color w:val="auto"/>
        </w:rPr>
      </w:pPr>
      <w:r>
        <w:rPr>
          <w:rFonts w:ascii="Times New Roman" w:cs="Times New Roman" w:eastAsia="Times New Roman" w:hAnsi="Times New Roman"/>
          <w:sz w:val="22"/>
          <w:szCs w:val="22"/>
          <w:color w:val="auto"/>
        </w:rPr>
        <w:t>Silver Lake Technology Investors IV,</w:t>
      </w:r>
      <w:r>
        <w:rPr>
          <w:sz w:val="20"/>
          <w:szCs w:val="20"/>
          <w:color w:val="auto"/>
        </w:rPr>
        <w:tab/>
      </w: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880" w:type="dxa"/>
            <w:vAlign w:val="bottom"/>
          </w:tcPr>
          <w:p>
            <w:pPr>
              <w:jc w:val="right"/>
              <w:ind w:right="412"/>
              <w:spacing w:after="0"/>
              <w:rPr>
                <w:sz w:val="20"/>
                <w:szCs w:val="20"/>
                <w:color w:val="auto"/>
              </w:rPr>
            </w:pPr>
            <w:r>
              <w:rPr>
                <w:rFonts w:ascii="Times New Roman" w:cs="Times New Roman" w:eastAsia="Times New Roman" w:hAnsi="Times New Roman"/>
                <w:sz w:val="22"/>
                <w:szCs w:val="22"/>
                <w:color w:val="auto"/>
                <w:w w:val="96"/>
              </w:rPr>
              <w:t>03/18/2026 794</w:t>
            </w:r>
          </w:p>
        </w:tc>
        <w:tc>
          <w:tcPr>
            <w:tcW w:w="142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121338.04</w:t>
            </w:r>
          </w:p>
        </w:tc>
      </w:tr>
    </w:tbl>
    <w:p>
      <w:pPr>
        <w:sectPr>
          <w:pgSz w:w="11900" w:h="16838" w:orient="portrait"/>
          <w:cols w:equalWidth="0" w:num="2">
            <w:col w:w="6540" w:space="720"/>
            <w:col w:w="3520"/>
          </w:cols>
          <w:pgMar w:left="360" w:top="111" w:right="759" w:bottom="0" w:gutter="0" w:footer="0" w:header="0"/>
          <w:type w:val="continuous"/>
        </w:sectPr>
      </w:pPr>
    </w:p>
    <w:bookmarkStart w:id="3" w:name="page4"/>
    <w:bookmarkEnd w:id="3"/>
    <w:p>
      <w:pPr>
        <w:ind w:left="40"/>
        <w:spacing w:after="0"/>
        <w:rPr>
          <w:sz w:val="20"/>
          <w:szCs w:val="20"/>
          <w:color w:val="auto"/>
        </w:rPr>
      </w:pPr>
      <w:r>
        <w:rPr>
          <w:rFonts w:ascii="Times New Roman" w:cs="Times New Roman" w:eastAsia="Times New Roman" w:hAnsi="Times New Roman"/>
          <w:sz w:val="22"/>
          <w:szCs w:val="22"/>
          <w:color w:val="auto"/>
        </w:rPr>
        <w:t>L.P.</w:t>
      </w:r>
    </w:p>
    <w:p>
      <w:pPr>
        <w:spacing w:after="0" w:line="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Silver Lake Partners IV,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220"/>
        <w:spacing w:after="0" w:line="241" w:lineRule="auto"/>
        <w:rPr>
          <w:sz w:val="20"/>
          <w:szCs w:val="20"/>
          <w:color w:val="auto"/>
        </w:rPr>
      </w:pPr>
      <w:r>
        <w:rPr>
          <w:rFonts w:ascii="Times New Roman" w:cs="Times New Roman" w:eastAsia="Times New Roman" w:hAnsi="Times New Roman"/>
          <w:sz w:val="22"/>
          <w:szCs w:val="22"/>
          <w:color w:val="auto"/>
        </w:rPr>
        <w:t>Silver Lake Partners V DE (AIV),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SL SPV-2, L.P.</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right="32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IV, L.P.</w:t>
      </w:r>
    </w:p>
    <w:p>
      <w:pPr>
        <w:ind w:left="40"/>
        <w:spacing w:after="0" w:line="232" w:lineRule="auto"/>
        <w:rPr>
          <w:sz w:val="20"/>
          <w:szCs w:val="20"/>
          <w:color w:val="auto"/>
        </w:rPr>
      </w:pPr>
      <w:r>
        <w:rPr>
          <w:rFonts w:ascii="Times New Roman" w:cs="Times New Roman" w:eastAsia="Times New Roman" w:hAnsi="Times New Roman"/>
          <w:sz w:val="22"/>
          <w:szCs w:val="22"/>
          <w:color w:val="auto"/>
        </w:rPr>
        <w:t>c/o Silver Lake</w:t>
      </w: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Silver Lake Technology Investors V, L.P. c/o Silver Lake</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2775 Sand Hill Road, Suite 100 Menlo Park CA 94025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Class C Common Stock</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03/18/2026 358</w:t>
      </w:r>
      <w:r>
        <w:rPr>
          <w:sz w:val="20"/>
          <w:szCs w:val="20"/>
          <w:color w:val="auto"/>
        </w:rPr>
        <w:tab/>
      </w:r>
      <w:r>
        <w:rPr>
          <w:rFonts w:ascii="Times New Roman" w:cs="Times New Roman" w:eastAsia="Times New Roman" w:hAnsi="Times New Roman"/>
          <w:sz w:val="21"/>
          <w:szCs w:val="21"/>
          <w:color w:val="auto"/>
        </w:rPr>
        <w:t>54709.09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03/20/2026 187352</w:t>
      </w:r>
      <w:r>
        <w:rPr>
          <w:sz w:val="20"/>
          <w:szCs w:val="20"/>
          <w:color w:val="auto"/>
        </w:rPr>
        <w:tab/>
      </w:r>
      <w:r>
        <w:rPr>
          <w:rFonts w:ascii="Times New Roman" w:cs="Times New Roman" w:eastAsia="Times New Roman" w:hAnsi="Times New Roman"/>
          <w:sz w:val="21"/>
          <w:szCs w:val="21"/>
          <w:color w:val="auto"/>
        </w:rPr>
        <w:t>30977497.80</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03/20/2026 95884</w:t>
      </w:r>
      <w:r>
        <w:rPr>
          <w:sz w:val="20"/>
          <w:szCs w:val="20"/>
          <w:color w:val="auto"/>
        </w:rPr>
        <w:tab/>
      </w:r>
      <w:r>
        <w:rPr>
          <w:rFonts w:ascii="Times New Roman" w:cs="Times New Roman" w:eastAsia="Times New Roman" w:hAnsi="Times New Roman"/>
          <w:sz w:val="21"/>
          <w:szCs w:val="21"/>
          <w:color w:val="auto"/>
        </w:rPr>
        <w:t>15853828.08</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03/20/2026 161571</w:t>
      </w:r>
      <w:r>
        <w:rPr>
          <w:sz w:val="20"/>
          <w:szCs w:val="20"/>
          <w:color w:val="auto"/>
        </w:rPr>
        <w:tab/>
      </w:r>
      <w:r>
        <w:rPr>
          <w:rFonts w:ascii="Times New Roman" w:cs="Times New Roman" w:eastAsia="Times New Roman" w:hAnsi="Times New Roman"/>
          <w:sz w:val="21"/>
          <w:szCs w:val="21"/>
          <w:color w:val="auto"/>
        </w:rPr>
        <w:t>26714768.44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03/20/2026 3579</w:t>
      </w:r>
      <w:r>
        <w:rPr>
          <w:sz w:val="20"/>
          <w:szCs w:val="20"/>
          <w:color w:val="auto"/>
        </w:rPr>
        <w:tab/>
      </w:r>
      <w:r>
        <w:rPr>
          <w:rFonts w:ascii="Times New Roman" w:cs="Times New Roman" w:eastAsia="Times New Roman" w:hAnsi="Times New Roman"/>
          <w:sz w:val="21"/>
          <w:szCs w:val="21"/>
          <w:color w:val="auto"/>
        </w:rPr>
        <w:t>591765.58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03/20/2026 1614</w:t>
      </w:r>
      <w:r>
        <w:rPr>
          <w:sz w:val="20"/>
          <w:szCs w:val="20"/>
          <w:color w:val="auto"/>
        </w:rPr>
        <w:tab/>
      </w:r>
      <w:r>
        <w:rPr>
          <w:rFonts w:ascii="Times New Roman" w:cs="Times New Roman" w:eastAsia="Times New Roman" w:hAnsi="Times New Roman"/>
          <w:sz w:val="21"/>
          <w:szCs w:val="21"/>
          <w:color w:val="auto"/>
        </w:rPr>
        <w:t>266864.95</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03/23/2026 191451</w:t>
      </w:r>
      <w:r>
        <w:rPr>
          <w:sz w:val="20"/>
          <w:szCs w:val="20"/>
          <w:color w:val="auto"/>
        </w:rPr>
        <w:tab/>
      </w:r>
      <w:r>
        <w:rPr>
          <w:rFonts w:ascii="Times New Roman" w:cs="Times New Roman" w:eastAsia="Times New Roman" w:hAnsi="Times New Roman"/>
          <w:sz w:val="21"/>
          <w:szCs w:val="21"/>
          <w:color w:val="auto"/>
        </w:rPr>
        <w:t>31062890.86</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03/23/2026 98063</w:t>
      </w:r>
      <w:r>
        <w:rPr>
          <w:sz w:val="20"/>
          <w:szCs w:val="20"/>
          <w:color w:val="auto"/>
        </w:rPr>
        <w:tab/>
      </w:r>
      <w:r>
        <w:rPr>
          <w:rFonts w:ascii="Times New Roman" w:cs="Times New Roman" w:eastAsia="Times New Roman" w:hAnsi="Times New Roman"/>
          <w:sz w:val="21"/>
          <w:szCs w:val="21"/>
          <w:color w:val="auto"/>
        </w:rPr>
        <w:t>15910704.39</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03/23/2026 165180</w:t>
      </w:r>
      <w:r>
        <w:rPr>
          <w:sz w:val="20"/>
          <w:szCs w:val="20"/>
          <w:color w:val="auto"/>
        </w:rPr>
        <w:tab/>
      </w:r>
      <w:r>
        <w:rPr>
          <w:rFonts w:ascii="Times New Roman" w:cs="Times New Roman" w:eastAsia="Times New Roman" w:hAnsi="Times New Roman"/>
          <w:sz w:val="21"/>
          <w:szCs w:val="21"/>
          <w:color w:val="auto"/>
        </w:rPr>
        <w:t>26800425.76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03/23/2026 3657</w:t>
      </w:r>
      <w:r>
        <w:rPr>
          <w:sz w:val="20"/>
          <w:szCs w:val="20"/>
          <w:color w:val="auto"/>
        </w:rPr>
        <w:tab/>
      </w:r>
      <w:r>
        <w:rPr>
          <w:rFonts w:ascii="Times New Roman" w:cs="Times New Roman" w:eastAsia="Times New Roman" w:hAnsi="Times New Roman"/>
          <w:sz w:val="21"/>
          <w:szCs w:val="21"/>
          <w:color w:val="auto"/>
        </w:rPr>
        <w:t>593347.60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03/23/2026 1649</w:t>
      </w:r>
      <w:r>
        <w:rPr>
          <w:sz w:val="20"/>
          <w:szCs w:val="20"/>
          <w:color w:val="auto"/>
        </w:rPr>
        <w:tab/>
      </w:r>
      <w:r>
        <w:rPr>
          <w:rFonts w:ascii="Times New Roman" w:cs="Times New Roman" w:eastAsia="Times New Roman" w:hAnsi="Times New Roman"/>
          <w:sz w:val="21"/>
          <w:szCs w:val="21"/>
          <w:color w:val="auto"/>
        </w:rPr>
        <w:t>267549.96</w:t>
      </w:r>
    </w:p>
    <w:p>
      <w:pPr>
        <w:spacing w:after="0" w:line="592" w:lineRule="exact"/>
        <w:rPr>
          <w:sz w:val="20"/>
          <w:szCs w:val="20"/>
          <w:color w:val="auto"/>
        </w:rPr>
      </w:pPr>
    </w:p>
    <w:p>
      <w:pPr>
        <w:sectPr>
          <w:pgSz w:w="11900" w:h="16838" w:orient="portrait"/>
          <w:cols w:equalWidth="0" w:num="3">
            <w:col w:w="3600" w:space="60"/>
            <w:col w:w="2920" w:space="720"/>
            <w:col w:w="3900"/>
          </w:cols>
          <w:pgMar w:left="320" w:top="112" w:right="379" w:bottom="0" w:gutter="0" w:footer="0" w:header="0"/>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186" w:lineRule="exact"/>
        <w:rPr>
          <w:sz w:val="20"/>
          <w:szCs w:val="20"/>
          <w:color w:val="auto"/>
        </w:rPr>
      </w:pPr>
    </w:p>
    <w:p>
      <w:pPr>
        <w:ind w:left="940" w:right="660" w:hanging="899"/>
        <w:spacing w:after="0" w:line="195" w:lineRule="auto"/>
        <w:tabs>
          <w:tab w:leader="none" w:pos="920" w:val="left"/>
        </w:tabs>
        <w:rPr>
          <w:sz w:val="20"/>
          <w:szCs w:val="20"/>
          <w:color w:val="auto"/>
        </w:rPr>
      </w:pPr>
      <w:r>
        <w:rPr>
          <w:rFonts w:ascii="Times New Roman" w:cs="Times New Roman" w:eastAsia="Times New Roman" w:hAnsi="Times New Roman"/>
          <w:sz w:val="37"/>
          <w:szCs w:val="37"/>
          <w:color w:val="auto"/>
          <w:vertAlign w:val="subscript"/>
        </w:rPr>
        <w:t>Remarks</w:t>
      </w:r>
      <w:r>
        <w:rPr>
          <w:sz w:val="20"/>
          <w:szCs w:val="20"/>
          <w:color w:val="auto"/>
        </w:rPr>
        <w:tab/>
      </w:r>
      <w:r>
        <w:rPr>
          <w:rFonts w:ascii="Times New Roman" w:cs="Times New Roman" w:eastAsia="Times New Roman" w:hAnsi="Times New Roman"/>
          <w:sz w:val="19"/>
          <w:szCs w:val="19"/>
          <w:color w:val="auto"/>
        </w:rPr>
        <w:t>The Seller and certain of its affiliates are, together, significant stockholders of the Issuer and an executive of an affiliate of the Seller currently serves as a member of the board of directors of the Issuer.</w:t>
      </w:r>
    </w:p>
    <w:p>
      <w:pPr>
        <w:spacing w:after="0" w:line="17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7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04/15/2026</w:t>
            </w:r>
          </w:p>
        </w:tc>
        <w:tc>
          <w:tcPr>
            <w:tcW w:w="0" w:type="dxa"/>
            <w:vAlign w:val="bottom"/>
          </w:tcPr>
          <w:p>
            <w:pPr>
              <w:spacing w:after="0"/>
              <w:rPr>
                <w:sz w:val="1"/>
                <w:szCs w:val="1"/>
                <w:color w:val="auto"/>
              </w:rPr>
            </w:pPr>
          </w:p>
        </w:tc>
      </w:tr>
      <w:tr>
        <w:trPr>
          <w:trHeight w:val="161"/>
        </w:trPr>
        <w:tc>
          <w:tcPr>
            <w:tcW w:w="7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78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8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spacing w:after="0" w:line="244"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w:t>
      </w:r>
    </w:p>
    <w:p>
      <w:pPr>
        <w:sectPr>
          <w:pgSz w:w="11900" w:h="16838" w:orient="portrait"/>
          <w:cols w:equalWidth="0" w:num="1">
            <w:col w:w="11200"/>
          </w:cols>
          <w:pgMar w:left="320" w:top="112" w:right="379" w:bottom="0" w:gutter="0" w:footer="0" w:header="0"/>
          <w:type w:val="continuous"/>
        </w:sectPr>
      </w:pPr>
    </w:p>
    <w:bookmarkStart w:id="4" w:name="page5"/>
    <w:bookmarkEnd w:id="4"/>
    <w:p>
      <w:pPr>
        <w:spacing w:after="0" w:line="256" w:lineRule="auto"/>
        <w:rPr>
          <w:sz w:val="20"/>
          <w:szCs w:val="20"/>
          <w:color w:val="auto"/>
        </w:rPr>
      </w:pPr>
      <w:r>
        <w:rPr>
          <w:rFonts w:ascii="Times New Roman" w:cs="Times New Roman" w:eastAsia="Times New Roman" w:hAnsi="Times New Roman"/>
          <w:sz w:val="22"/>
          <w:szCs w:val="22"/>
          <w:color w:val="auto"/>
        </w:rPr>
        <w:t>instructions to satisfy Rule 10b5-1 under the Exchange Act, by signing the form and indicating the date that the plan was adopted or the instruction given, that person makes such representation as of the plan adoption or instruction date.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 Silver Lake Partners V DE (AIV), L.P., By: /s/ Justin G. Hamill, Managing Director and Chief Legal Officer</w:t>
      </w:r>
    </w:p>
    <w:p>
      <w:pPr>
        <w:spacing w:after="0" w:line="3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160"/>
      </w:cols>
      <w:pgMar w:left="360" w:top="112"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2026-04-15T19:48:36Z</dcterms:created>
  <dcterms:modified xsi:type="dcterms:W3CDTF">2026-04-15T19:48:36Z</dcterms:modified>
</cp:coreProperties>
</file>