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945"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Temasek Holdings (Private) Ltd</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01" w:lineRule="auto"/>
        <w:rPr>
          <w:sz w:val="20"/>
          <w:szCs w:val="20"/>
          <w:color w:val="auto"/>
        </w:rPr>
      </w:pPr>
      <w:r>
        <w:rPr>
          <w:rFonts w:ascii="Arial" w:cs="Arial" w:eastAsia="Arial" w:hAnsi="Arial"/>
          <w:sz w:val="18"/>
          <w:szCs w:val="18"/>
          <w:color w:val="0000FF"/>
        </w:rPr>
        <w:t>60B ORCHARD ROAD #06-18 TOWER 2 THE ATRIUM@ORCHARD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Dell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DELL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Former 10% Owner</w:t>
      </w:r>
    </w:p>
    <w:p>
      <w:pPr>
        <w:spacing w:after="0" w:line="448" w:lineRule="exact"/>
        <w:rPr>
          <w:sz w:val="24"/>
          <w:szCs w:val="24"/>
          <w:color w:val="auto"/>
        </w:rPr>
      </w:pPr>
    </w:p>
    <w:p>
      <w:pPr>
        <w:sectPr>
          <w:pgSz w:w="11900" w:h="16945"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140" w:type="dxa"/>
            <w:vAlign w:val="bottom"/>
            <w:gridSpan w:val="9"/>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360" w:type="dxa"/>
            <w:vAlign w:val="bottom"/>
            <w:gridSpan w:val="10"/>
          </w:tcPr>
          <w:p>
            <w:pPr>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SINGAPORE</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U0</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238891</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96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7"/>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gridSpan w:val="3"/>
          </w:tcPr>
          <w:p>
            <w:pPr>
              <w:ind w:left="34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rPr>
              <w:t>08/30/2019</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46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602,754</w:t>
            </w:r>
          </w:p>
        </w:tc>
        <w:tc>
          <w:tcPr>
            <w:tcW w:w="2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50.4952</w:t>
            </w:r>
            <w:r>
              <w:rPr>
                <w:rFonts w:ascii="Arial" w:cs="Arial" w:eastAsia="Arial" w:hAnsi="Arial"/>
                <w:sz w:val="22"/>
                <w:szCs w:val="22"/>
                <w:color w:val="008000"/>
                <w:w w:val="83"/>
                <w:vertAlign w:val="superscript"/>
              </w:rPr>
              <w:t>(2)</w:t>
            </w:r>
          </w:p>
        </w:tc>
        <w:tc>
          <w:tcPr>
            <w:tcW w:w="128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17,579,064</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2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8"/>
                <w:szCs w:val="18"/>
                <w:color w:val="0000FF"/>
              </w:rPr>
              <w:t>08/30/2019</w:t>
            </w:r>
          </w:p>
        </w:tc>
        <w:tc>
          <w:tcPr>
            <w:tcW w:w="7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4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887,624</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3"/>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51.4098</w:t>
            </w:r>
            <w:r>
              <w:rPr>
                <w:rFonts w:ascii="Arial" w:cs="Arial" w:eastAsia="Arial" w:hAnsi="Arial"/>
                <w:sz w:val="22"/>
                <w:szCs w:val="22"/>
                <w:color w:val="008000"/>
                <w:w w:val="83"/>
                <w:vertAlign w:val="superscript"/>
              </w:rPr>
              <w:t>(3)</w:t>
            </w:r>
          </w:p>
        </w:tc>
        <w:tc>
          <w:tcPr>
            <w:tcW w:w="1280" w:type="dxa"/>
            <w:vAlign w:val="bottom"/>
            <w:tcBorders>
              <w:top w:val="single" w:sz="8" w:color="2C2C2C"/>
            </w:tcBorders>
            <w:gridSpan w:val="3"/>
            <w:vMerge w:val="restart"/>
          </w:tcPr>
          <w:p>
            <w:pPr>
              <w:jc w:val="right"/>
              <w:ind w:right="179"/>
              <w:spacing w:after="0"/>
              <w:rPr>
                <w:sz w:val="20"/>
                <w:szCs w:val="20"/>
                <w:color w:val="auto"/>
              </w:rPr>
            </w:pPr>
            <w:r>
              <w:rPr>
                <w:rFonts w:ascii="Arial" w:cs="Arial" w:eastAsia="Arial" w:hAnsi="Arial"/>
                <w:sz w:val="18"/>
                <w:szCs w:val="18"/>
                <w:color w:val="0000FF"/>
              </w:rPr>
              <w:t>16,691,440</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2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8"/>
                <w:szCs w:val="18"/>
                <w:color w:val="0000FF"/>
              </w:rPr>
              <w:t>08/30/2019</w:t>
            </w:r>
          </w:p>
        </w:tc>
        <w:tc>
          <w:tcPr>
            <w:tcW w:w="7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4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710,573</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3"/>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52.1995</w:t>
            </w:r>
            <w:r>
              <w:rPr>
                <w:rFonts w:ascii="Arial" w:cs="Arial" w:eastAsia="Arial" w:hAnsi="Arial"/>
                <w:sz w:val="22"/>
                <w:szCs w:val="22"/>
                <w:color w:val="008000"/>
                <w:w w:val="83"/>
                <w:vertAlign w:val="superscript"/>
              </w:rPr>
              <w:t>(4)</w:t>
            </w:r>
          </w:p>
        </w:tc>
        <w:tc>
          <w:tcPr>
            <w:tcW w:w="1280" w:type="dxa"/>
            <w:vAlign w:val="bottom"/>
            <w:tcBorders>
              <w:top w:val="single" w:sz="8" w:color="2C2C2C"/>
            </w:tcBorders>
            <w:gridSpan w:val="3"/>
            <w:vMerge w:val="restart"/>
          </w:tcPr>
          <w:p>
            <w:pPr>
              <w:jc w:val="right"/>
              <w:ind w:right="179"/>
              <w:spacing w:after="0"/>
              <w:rPr>
                <w:sz w:val="20"/>
                <w:szCs w:val="20"/>
                <w:color w:val="auto"/>
              </w:rPr>
            </w:pPr>
            <w:r>
              <w:rPr>
                <w:rFonts w:ascii="Arial" w:cs="Arial" w:eastAsia="Arial" w:hAnsi="Arial"/>
                <w:sz w:val="18"/>
                <w:szCs w:val="18"/>
                <w:color w:val="0000FF"/>
              </w:rPr>
              <w:t>15,980,867</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2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8"/>
                <w:szCs w:val="18"/>
                <w:color w:val="0000FF"/>
              </w:rPr>
              <w:t>08/30/2019</w:t>
            </w:r>
          </w:p>
        </w:tc>
        <w:tc>
          <w:tcPr>
            <w:tcW w:w="7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4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24,599</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3"/>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53.0202</w:t>
            </w:r>
            <w:r>
              <w:rPr>
                <w:rFonts w:ascii="Arial" w:cs="Arial" w:eastAsia="Arial" w:hAnsi="Arial"/>
                <w:sz w:val="22"/>
                <w:szCs w:val="22"/>
                <w:color w:val="008000"/>
                <w:w w:val="83"/>
                <w:vertAlign w:val="superscript"/>
              </w:rPr>
              <w:t>(5)</w:t>
            </w:r>
          </w:p>
        </w:tc>
        <w:tc>
          <w:tcPr>
            <w:tcW w:w="1280" w:type="dxa"/>
            <w:vAlign w:val="bottom"/>
            <w:tcBorders>
              <w:top w:val="single" w:sz="8" w:color="2C2C2C"/>
            </w:tcBorders>
            <w:gridSpan w:val="3"/>
            <w:vMerge w:val="restart"/>
          </w:tcPr>
          <w:p>
            <w:pPr>
              <w:jc w:val="right"/>
              <w:ind w:right="179"/>
              <w:spacing w:after="0"/>
              <w:rPr>
                <w:sz w:val="20"/>
                <w:szCs w:val="20"/>
                <w:color w:val="auto"/>
              </w:rPr>
            </w:pPr>
            <w:r>
              <w:rPr>
                <w:rFonts w:ascii="Arial" w:cs="Arial" w:eastAsia="Arial" w:hAnsi="Arial"/>
                <w:sz w:val="18"/>
                <w:szCs w:val="18"/>
                <w:color w:val="0000FF"/>
              </w:rPr>
              <w:t>15,956,268</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2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8"/>
                <w:szCs w:val="18"/>
                <w:color w:val="0000FF"/>
              </w:rPr>
              <w:t>09/03/2019</w:t>
            </w:r>
          </w:p>
        </w:tc>
        <w:tc>
          <w:tcPr>
            <w:tcW w:w="7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(6)</w:t>
            </w:r>
          </w:p>
        </w:tc>
        <w:tc>
          <w:tcPr>
            <w:tcW w:w="4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442,752</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3"/>
            <w:vMerge w:val="restart"/>
          </w:tcPr>
          <w:p>
            <w:pPr>
              <w:ind w:left="2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51.2189</w:t>
            </w:r>
            <w:r>
              <w:rPr>
                <w:rFonts w:ascii="Arial" w:cs="Arial" w:eastAsia="Arial" w:hAnsi="Arial"/>
                <w:sz w:val="22"/>
                <w:szCs w:val="22"/>
                <w:color w:val="008000"/>
                <w:w w:val="83"/>
                <w:vertAlign w:val="superscript"/>
              </w:rPr>
              <w:t>(7)</w:t>
            </w:r>
          </w:p>
        </w:tc>
        <w:tc>
          <w:tcPr>
            <w:tcW w:w="1280" w:type="dxa"/>
            <w:vAlign w:val="bottom"/>
            <w:tcBorders>
              <w:top w:val="single" w:sz="8" w:color="2C2C2C"/>
            </w:tcBorders>
            <w:gridSpan w:val="3"/>
            <w:vMerge w:val="restart"/>
          </w:tcPr>
          <w:p>
            <w:pPr>
              <w:jc w:val="right"/>
              <w:ind w:right="179"/>
              <w:spacing w:after="0"/>
              <w:rPr>
                <w:sz w:val="20"/>
                <w:szCs w:val="20"/>
                <w:color w:val="auto"/>
              </w:rPr>
            </w:pPr>
            <w:r>
              <w:rPr>
                <w:rFonts w:ascii="Arial" w:cs="Arial" w:eastAsia="Arial" w:hAnsi="Arial"/>
                <w:sz w:val="18"/>
                <w:szCs w:val="18"/>
                <w:color w:val="0000FF"/>
              </w:rPr>
              <w:t>15,513,516</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(6)(8)</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6"/>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3"/>
          </w:tcPr>
          <w:p>
            <w:pPr>
              <w:jc w:val="center"/>
              <w:ind w:left="50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August 30, 2019, Venezio Investments Pte. Ltd. sold an aggregate of 2,225,550 shares of Class C common stock, par value $0.01 per share (the "Common Stock"), of Dell Technologies Inc. (the "Issuer") in multiple transactions at prices ranging from $50.00 to $53.16.</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$50.00 to $50.9975,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and (7)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$51.00 to $51.98,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$52.03 to $52.90,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$53.00 to $53.16,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September 3, 2019, Venezio Investments Pte. Ltd. sold 442,752 shares of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$51.00 to $51.87, inclusive.</w:t>
      </w:r>
    </w:p>
    <w:p>
      <w:pPr>
        <w:spacing w:after="0" w:line="41" w:lineRule="exact"/>
        <w:rPr>
          <w:rFonts w:ascii="Arial" w:cs="Arial" w:eastAsia="Arial" w:hAnsi="Arial"/>
          <w:sz w:val="14"/>
          <w:szCs w:val="14"/>
          <w:color w:val="008000"/>
        </w:rPr>
      </w:pPr>
    </w:p>
    <w:p>
      <w:pPr>
        <w:ind w:left="40" w:right="140" w:firstLine="9"/>
        <w:spacing w:after="0" w:line="228"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Common Stock is directly held by Venezio Investments Pte. Ltd., which is a direct wholly-owned subsidiary of Napier Investments Pte. Ltd. Napier Investments Pte. Ltd. is a direct wholly-owned subsidiary of Tembusu Capital Pte. Ltd., which in turn is a direct wholly-owned subsidiary of Temasek Holdings (Private) Limited. Napier Investments Pte. Ltd., Tembusu Capital Pte. Ltd. and Temasek Holdings (Private) Limited may therefore be deemed to have or share beneficial ownership of the securities held by Venezio Investments Pte. Ltd. Each such person disclaims beneficial ownership of such shares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6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Gregory Tan, Authorised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49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Signatory, Temasek Holdings</w:t>
      </w:r>
      <w:r>
        <w:rPr>
          <w:sz w:val="20"/>
          <w:szCs w:val="20"/>
          <w:color w:val="auto"/>
        </w:rPr>
        <w:tab/>
      </w:r>
      <w:r>
        <w:rPr>
          <w:rFonts w:ascii="Arial" w:cs="Arial" w:eastAsia="Arial" w:hAnsi="Arial"/>
          <w:sz w:val="15"/>
          <w:szCs w:val="15"/>
          <w:color w:val="0000FF"/>
        </w:rPr>
        <w:t>09/04/2019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(Private)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7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418"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4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1944" TargetMode="External"/><Relationship Id="rId13"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2019-12-24T06:46:48Z</dcterms:created>
  <dcterms:modified xsi:type="dcterms:W3CDTF">2019-12-24T06:46:48Z</dcterms:modified>
</cp:coreProperties>
</file>