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JFrog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NIS 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M6191J100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40"/>
        <w:spacing w:after="0"/>
        <w:rPr>
          <w:sz w:val="24"/>
          <w:szCs w:val="24"/>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M6191J100</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220"/>
              <w:spacing w:after="0"/>
              <w:rPr>
                <w:sz w:val="20"/>
                <w:szCs w:val="20"/>
                <w:color w:val="auto"/>
              </w:rPr>
            </w:pPr>
            <w:r>
              <w:rPr>
                <w:rFonts w:ascii="Arial" w:cs="Arial" w:eastAsia="Arial" w:hAnsi="Arial"/>
                <w:sz w:val="18"/>
                <w:szCs w:val="18"/>
                <w:color w:val="auto"/>
              </w:rPr>
              <w:t>Dell Technologies Inc.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2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44" w:right="1040" w:hanging="5244"/>
        <w:spacing w:after="0" w:line="449" w:lineRule="auto"/>
        <w:tabs>
          <w:tab w:leader="none" w:pos="4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calculation is based on 92,256,992 Ordinary Shares outstanding as of December 31, 2020, as provided by the Issuer. 2 of 10</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M6191J100</w:t>
      </w:r>
    </w:p>
    <w:p>
      <w:pPr>
        <w:spacing w:after="0" w:line="395"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EMC Corporation</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9"/>
              </w:rPr>
              <w:t>Massachusetts</w:t>
            </w: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2,925,965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2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2,925,965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2,925,965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44" w:right="1040" w:hanging="5244"/>
        <w:spacing w:after="0" w:line="449" w:lineRule="auto"/>
        <w:tabs>
          <w:tab w:leader="none" w:pos="4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calculation is based on 92,256,992 Ordinary Shares outstanding as of December 31, 2020, as provided by the Issuer. 3 of 10</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M6191J100</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EMC Ireland Holdings</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Ireland</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3,977,232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2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3,977,232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3,977,232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44" w:right="1040" w:hanging="5244"/>
        <w:spacing w:after="0" w:line="449" w:lineRule="auto"/>
        <w:tabs>
          <w:tab w:leader="none" w:pos="4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calculation is based on 92,256,992 Ordinary Shares outstanding as of December 31, 2020, as provided by the Issuer. 4 of 10</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M6191J100</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Michael S. Dell</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2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6,903,197 Ordinary Shares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44" w:right="1040" w:hanging="5244"/>
        <w:spacing w:after="0" w:line="449" w:lineRule="auto"/>
        <w:tabs>
          <w:tab w:leader="none" w:pos="42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calculation is based on 92,256,992 Ordinary Shares outstanding as of December 31, 2020, as provided by the Issuer. 5 of 10</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name of the issuer is JFrog Ltd. (the “Issuer”).</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Issuer’s principal executive offices are located at 270 E. Caribbean Drive, Sunnyvale, California 94089.</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Schedule 13G is being filed by Dell Technologies Inc., a Delaware corporation (“Dell Technologies”), EMC Corporation, a Massachusetts corporation (“EMC”), EMC Ireland Holdings, a private unlimited company organized under the laws of Ireland (“EMC Ireland”), and Michael S. Dell (collectively with Dell Technologies, EMC and EMC Ireland, the “Reporting Persons”).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Reporting Persons may be deemed to beneficially own, in the aggregate, 6,903,197 ordinary shares (“Ordinary Shares”) of the Issuer, of which</w:t>
      </w:r>
    </w:p>
    <w:p>
      <w:pPr>
        <w:spacing w:after="0" w:line="46" w:lineRule="exact"/>
        <w:rPr>
          <w:sz w:val="20"/>
          <w:szCs w:val="20"/>
          <w:color w:val="auto"/>
        </w:rPr>
      </w:pPr>
    </w:p>
    <w:p>
      <w:pPr>
        <w:ind w:left="4" w:right="720" w:hanging="4"/>
        <w:spacing w:after="0" w:line="290"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EMC is the record holder of 317,302 Ordinary Shares, (2) EMC Ireland is the record holder of 3,977,232 Ordinary Shares and (3) VMware International Marketing Limited (“VMware International Marketing”) is the record holder of 2,608,663 Ordinary Shares.</w:t>
      </w:r>
    </w:p>
    <w:p>
      <w:pPr>
        <w:spacing w:after="0" w:line="66" w:lineRule="exact"/>
        <w:rPr>
          <w:rFonts w:ascii="Arial" w:cs="Arial" w:eastAsia="Arial" w:hAnsi="Arial"/>
          <w:sz w:val="17"/>
          <w:szCs w:val="17"/>
          <w:color w:val="auto"/>
        </w:rPr>
      </w:pPr>
    </w:p>
    <w:p>
      <w:pPr>
        <w:ind w:left="964" w:hanging="424"/>
        <w:spacing w:after="0" w:line="273" w:lineRule="auto"/>
        <w:tabs>
          <w:tab w:leader="none" w:pos="964" w:val="left"/>
        </w:tabs>
        <w:numPr>
          <w:ilvl w:val="1"/>
          <w:numId w:val="7"/>
        </w:numPr>
        <w:rPr>
          <w:rFonts w:ascii="Arial" w:cs="Arial" w:eastAsia="Arial" w:hAnsi="Arial"/>
          <w:sz w:val="17"/>
          <w:szCs w:val="17"/>
          <w:color w:val="auto"/>
        </w:rPr>
      </w:pPr>
      <w:r>
        <w:rPr>
          <w:rFonts w:ascii="Arial" w:cs="Arial" w:eastAsia="Arial" w:hAnsi="Arial"/>
          <w:sz w:val="17"/>
          <w:szCs w:val="17"/>
          <w:color w:val="auto"/>
        </w:rPr>
        <w:t>EMC Ireland is directly wholly owned by Dell International Holdings VIII B.V., which is directly wholly owned by EMC Group 2, which is directly wholly owned by Dell International Holdings Limited and other indirect wholly-owned subsidiaries of Dell Technologies consisting of Dell Financial Services L.L.C. and Dell Global Holdings XV L.L.C. Dell International Holdings Limited is directly wholly owned by Dell Global Holdings XV L.L.C., which is directly wholly owned by indirect wholly-owned subsidiaries of Dell Technologies, consisting of Dell International L.L.C. and EMC. Dell International L.L.C. and EMC are each directly wholly owned by Dell Inc., which is directly wholly owned by Denali Intermediate Inc., which is directly wholly owned by Dell Technologies.</w:t>
      </w:r>
    </w:p>
    <w:p>
      <w:pPr>
        <w:spacing w:after="0" w:line="83" w:lineRule="exact"/>
        <w:rPr>
          <w:rFonts w:ascii="Arial" w:cs="Arial" w:eastAsia="Arial" w:hAnsi="Arial"/>
          <w:sz w:val="17"/>
          <w:szCs w:val="17"/>
          <w:color w:val="auto"/>
        </w:rPr>
      </w:pPr>
    </w:p>
    <w:p>
      <w:pPr>
        <w:ind w:left="964" w:right="80" w:hanging="424"/>
        <w:spacing w:after="0" w:line="275" w:lineRule="auto"/>
        <w:tabs>
          <w:tab w:leader="none" w:pos="964" w:val="left"/>
        </w:tabs>
        <w:numPr>
          <w:ilvl w:val="1"/>
          <w:numId w:val="7"/>
        </w:numPr>
        <w:rPr>
          <w:rFonts w:ascii="Arial" w:cs="Arial" w:eastAsia="Arial" w:hAnsi="Arial"/>
          <w:sz w:val="17"/>
          <w:szCs w:val="17"/>
          <w:color w:val="auto"/>
        </w:rPr>
      </w:pPr>
      <w:r>
        <w:rPr>
          <w:rFonts w:ascii="Arial" w:cs="Arial" w:eastAsia="Arial" w:hAnsi="Arial"/>
          <w:sz w:val="17"/>
          <w:szCs w:val="17"/>
          <w:color w:val="auto"/>
        </w:rPr>
        <w:t>VMware International Marketing is directly wholly owned by VMware Technology Holdings Limited, which is directly wholly owned by indirect majority-owned subsidiaries of Dell Technologies consisting of Pivotal Software, Inc. and VMware Global, Inc. Pivotal Software, Inc. is directly wholly owned by VMware, Inc., which has a class of equity securities listed on the New York Stock Exchange and is majority-owned, collectively, by indirect wholly-owned subsidiaries of Dell Technologies consisting of EMC, EMC Equity Assets LLC and VMW Holdco LLC. Each of EMC Equity Assets LLC and VMW Holdco LLC is directly wholly owned by EMC.</w:t>
      </w:r>
    </w:p>
    <w:p>
      <w:pPr>
        <w:spacing w:after="0" w:line="176"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Dell Technologies and each subsidiary in the chain of subsidiaries through which Dell Technologies owns EMC, EMC Ireland and VMware International Marketing that directly owns a majority of the equity interests in the subsidiary below it in the legal structure of the consolidated group has a right to elect or appoint the member or members of the governing body of the subsidiary below it in the legal structure of the consolidated group and, therefore, to direct the management and policies of such subsidiary. Michael S. Dell is the Chairman and Chief Executive Officer of Dell Technologies. Mr. Dell beneficially owns voting securities of Dell Technologies representing a majority of the voting power of all outstanding voting securities of Dell Technologies and has the power to elect directors who control a majority of the total votes entitled to be cast on the Dell Technologies board of directors. As a result, Mr. Dell may be deemed to be the beneficial owner of all the Ordinary Shares beneficially owned by Dell Technologies, and Dell Technologies may be deemed to be the beneficial owner of all the Ordinary Shares held by each of EMC, EMC Ireland and VMware International Marketing.</w:t>
      </w:r>
    </w:p>
    <w:p>
      <w:pPr>
        <w:spacing w:after="0" w:line="34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address of the principal business office of each of the Reporting Persons is One Dell Way, Round Rock, Texas 78682.</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Dell Technologies is a Delaware corporation.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 of 10</w:t>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EMC is a Massachusetts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EMC Ireland is a private unlimited company organized under the laws of Ireland.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Michael S. Dell is a citizen of the United States of America.</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Ordinary Shares, NIS 0.01 par value per share.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M6191J100</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Each of Dell Technologies and Michael S. Dell may be deemed to beneficially own, in the aggregate, 6,903,197 Ordinary Shares, of which (1) EMC is the record holder of 317,302 Ordinary Shares, (2) EMC Ireland is the record holder of 3,977,232 Ordinary Shares and (3) VMware International Marketing is the record holder of 2,608,663 Ordinary Shares. EMC may be deemed to beneficially own 2,925,965 Ordinary Shares, of which (1) EMC is the record holder of 317,302 Ordinary Shares and (2) VMware International Marketing is the record holder of 2,608,663 Ordinary Shares.</w:t>
      </w:r>
    </w:p>
    <w:p>
      <w:pPr>
        <w:spacing w:after="0" w:line="30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Dell Technologies</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EMC</w:t>
            </w:r>
          </w:p>
        </w:tc>
        <w:tc>
          <w:tcPr>
            <w:tcW w:w="34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EMC Ireland</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Michael S. Dell</w:t>
            </w:r>
          </w:p>
        </w:tc>
        <w:tc>
          <w:tcPr>
            <w:tcW w:w="3400" w:type="dxa"/>
            <w:vAlign w:val="bottom"/>
          </w:tcPr>
          <w:p>
            <w:pPr>
              <w:jc w:val="right"/>
              <w:spacing w:after="0"/>
              <w:rPr>
                <w:sz w:val="20"/>
                <w:szCs w:val="20"/>
                <w:color w:val="auto"/>
              </w:rPr>
            </w:pPr>
            <w:r>
              <w:rPr>
                <w:rFonts w:ascii="Arial" w:cs="Arial" w:eastAsia="Arial" w:hAnsi="Arial"/>
                <w:sz w:val="18"/>
                <w:szCs w:val="18"/>
                <w:color w:val="auto"/>
              </w:rPr>
              <w:t>7.5%(1)</w:t>
            </w:r>
          </w:p>
        </w:tc>
      </w:tr>
    </w:tbl>
    <w:p>
      <w:pPr>
        <w:spacing w:after="0" w:line="33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0" w:lineRule="exact"/>
        <w:rPr>
          <w:rFonts w:ascii="Arial" w:cs="Arial" w:eastAsia="Arial" w:hAnsi="Arial"/>
          <w:sz w:val="18"/>
          <w:szCs w:val="18"/>
          <w:b w:val="1"/>
          <w:bCs w:val="1"/>
          <w:color w:val="auto"/>
        </w:rPr>
      </w:pPr>
    </w:p>
    <w:p>
      <w:pPr>
        <w:ind w:left="944" w:right="6860" w:hanging="512"/>
        <w:spacing w:after="0" w:line="383" w:lineRule="auto"/>
        <w:tabs>
          <w:tab w:leader="none" w:pos="963"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 for all Reporting Persons</w:t>
      </w:r>
    </w:p>
    <w:p>
      <w:pPr>
        <w:ind w:left="964" w:hanging="532"/>
        <w:spacing w:after="0"/>
        <w:tabs>
          <w:tab w:leader="none" w:pos="96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Dell Technologies</w:t>
            </w:r>
          </w:p>
        </w:tc>
        <w:tc>
          <w:tcPr>
            <w:tcW w:w="4080" w:type="dxa"/>
            <w:vAlign w:val="bottom"/>
            <w:shd w:val="clear" w:color="auto" w:fill="CCEEFF"/>
          </w:tcPr>
          <w:p>
            <w:pPr>
              <w:ind w:left="2080"/>
              <w:spacing w:after="0"/>
              <w:rPr>
                <w:sz w:val="20"/>
                <w:szCs w:val="20"/>
                <w:color w:val="auto"/>
              </w:rPr>
            </w:pPr>
            <w:r>
              <w:rPr>
                <w:rFonts w:ascii="Arial" w:cs="Arial" w:eastAsia="Arial" w:hAnsi="Arial"/>
                <w:sz w:val="18"/>
                <w:szCs w:val="18"/>
                <w:color w:val="auto"/>
                <w:w w:val="91"/>
              </w:rPr>
              <w:t>6,903,197 Ordinary Shares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EMC</w:t>
            </w:r>
          </w:p>
        </w:tc>
        <w:tc>
          <w:tcPr>
            <w:tcW w:w="4080" w:type="dxa"/>
            <w:vAlign w:val="bottom"/>
          </w:tcPr>
          <w:p>
            <w:pPr>
              <w:ind w:left="2080"/>
              <w:spacing w:after="0"/>
              <w:rPr>
                <w:sz w:val="20"/>
                <w:szCs w:val="20"/>
                <w:color w:val="auto"/>
              </w:rPr>
            </w:pPr>
            <w:r>
              <w:rPr>
                <w:rFonts w:ascii="Arial" w:cs="Arial" w:eastAsia="Arial" w:hAnsi="Arial"/>
                <w:sz w:val="18"/>
                <w:szCs w:val="18"/>
                <w:color w:val="auto"/>
                <w:w w:val="91"/>
              </w:rPr>
              <w:t>2,925,965 Ordinary Shares</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EMC Ireland</w:t>
            </w:r>
          </w:p>
        </w:tc>
        <w:tc>
          <w:tcPr>
            <w:tcW w:w="4080" w:type="dxa"/>
            <w:vAlign w:val="bottom"/>
            <w:shd w:val="clear" w:color="auto" w:fill="CCEEFF"/>
          </w:tcPr>
          <w:p>
            <w:pPr>
              <w:ind w:left="2080"/>
              <w:spacing w:after="0"/>
              <w:rPr>
                <w:sz w:val="20"/>
                <w:szCs w:val="20"/>
                <w:color w:val="auto"/>
              </w:rPr>
            </w:pPr>
            <w:r>
              <w:rPr>
                <w:rFonts w:ascii="Arial" w:cs="Arial" w:eastAsia="Arial" w:hAnsi="Arial"/>
                <w:sz w:val="18"/>
                <w:szCs w:val="18"/>
                <w:color w:val="auto"/>
                <w:w w:val="91"/>
              </w:rPr>
              <w:t>3,977,232 Ordinary Shares</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Michael S. Dell</w:t>
            </w:r>
          </w:p>
        </w:tc>
        <w:tc>
          <w:tcPr>
            <w:tcW w:w="4080" w:type="dxa"/>
            <w:vAlign w:val="bottom"/>
          </w:tcPr>
          <w:p>
            <w:pPr>
              <w:ind w:left="2080"/>
              <w:spacing w:after="0"/>
              <w:rPr>
                <w:sz w:val="20"/>
                <w:szCs w:val="20"/>
                <w:color w:val="auto"/>
              </w:rPr>
            </w:pPr>
            <w:r>
              <w:rPr>
                <w:rFonts w:ascii="Arial" w:cs="Arial" w:eastAsia="Arial" w:hAnsi="Arial"/>
                <w:sz w:val="18"/>
                <w:szCs w:val="18"/>
                <w:color w:val="auto"/>
                <w:w w:val="91"/>
              </w:rPr>
              <w:t>6,903,197 Ordinary Shares</w:t>
            </w:r>
          </w:p>
        </w:tc>
      </w:tr>
    </w:tbl>
    <w:p>
      <w:pPr>
        <w:spacing w:after="0" w:line="210" w:lineRule="exact"/>
        <w:rPr>
          <w:sz w:val="20"/>
          <w:szCs w:val="20"/>
          <w:color w:val="auto"/>
        </w:rPr>
      </w:pPr>
    </w:p>
    <w:p>
      <w:pPr>
        <w:ind w:left="944" w:right="5920" w:hanging="512"/>
        <w:spacing w:after="0" w:line="407" w:lineRule="auto"/>
        <w:tabs>
          <w:tab w:leader="none" w:pos="963"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 for all Reporting Persons</w:t>
      </w:r>
    </w:p>
    <w:p>
      <w:pPr>
        <w:spacing w:after="0" w:line="30" w:lineRule="exact"/>
        <w:rPr>
          <w:rFonts w:ascii="Arial" w:cs="Arial" w:eastAsia="Arial" w:hAnsi="Arial"/>
          <w:sz w:val="18"/>
          <w:szCs w:val="18"/>
          <w:b w:val="1"/>
          <w:bCs w:val="1"/>
          <w:color w:val="auto"/>
        </w:rPr>
      </w:pPr>
    </w:p>
    <w:p>
      <w:pPr>
        <w:ind w:left="5244" w:right="3020" w:hanging="5244"/>
        <w:spacing w:after="0" w:line="449" w:lineRule="auto"/>
        <w:tabs>
          <w:tab w:leader="none" w:pos="4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92,256,992 Ordinary Shares outstanding as of December 31, 2020, as provided by the Issuer.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844"/>
          </w:cols>
          <w:pgMar w:left="436" w:top="274" w:right="619" w:bottom="1440" w:gutter="0" w:footer="0" w:header="0"/>
        </w:sectPr>
      </w:pPr>
    </w:p>
    <w:bookmarkStart w:id="7" w:name="page8"/>
    <w:bookmarkEnd w:id="7"/>
    <w:p>
      <w:pPr>
        <w:ind w:left="960" w:hanging="532"/>
        <w:spacing w:after="0"/>
        <w:tabs>
          <w:tab w:leader="none" w:pos="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Shared power to dispose or to direct the disposition of:</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Dell Technologies</w:t>
            </w:r>
          </w:p>
        </w:tc>
        <w:tc>
          <w:tcPr>
            <w:tcW w:w="352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1"/>
              </w:rPr>
              <w:t>6,903,197 Ordinary Shares</w:t>
            </w: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EMC</w:t>
            </w:r>
          </w:p>
        </w:tc>
        <w:tc>
          <w:tcPr>
            <w:tcW w:w="3520" w:type="dxa"/>
            <w:vAlign w:val="bottom"/>
          </w:tcPr>
          <w:p>
            <w:pPr>
              <w:ind w:left="1520"/>
              <w:spacing w:after="0"/>
              <w:rPr>
                <w:sz w:val="20"/>
                <w:szCs w:val="20"/>
                <w:color w:val="auto"/>
              </w:rPr>
            </w:pPr>
            <w:r>
              <w:rPr>
                <w:rFonts w:ascii="Arial" w:cs="Arial" w:eastAsia="Arial" w:hAnsi="Arial"/>
                <w:sz w:val="18"/>
                <w:szCs w:val="18"/>
                <w:color w:val="auto"/>
                <w:w w:val="91"/>
              </w:rPr>
              <w:t>2,925,965 Ordinary Shares</w:t>
            </w: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EMC Ireland</w:t>
            </w:r>
          </w:p>
        </w:tc>
        <w:tc>
          <w:tcPr>
            <w:tcW w:w="352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1"/>
              </w:rPr>
              <w:t>3,977,232 Ordinary Shares</w:t>
            </w:r>
          </w:p>
        </w:tc>
      </w:tr>
      <w:tr>
        <w:trPr>
          <w:trHeight w:val="230"/>
        </w:trPr>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Michael S. Dell</w:t>
            </w:r>
          </w:p>
        </w:tc>
        <w:tc>
          <w:tcPr>
            <w:tcW w:w="3520" w:type="dxa"/>
            <w:vAlign w:val="bottom"/>
          </w:tcPr>
          <w:p>
            <w:pPr>
              <w:ind w:left="1520"/>
              <w:spacing w:after="0"/>
              <w:rPr>
                <w:sz w:val="20"/>
                <w:szCs w:val="20"/>
                <w:color w:val="auto"/>
              </w:rPr>
            </w:pPr>
            <w:r>
              <w:rPr>
                <w:rFonts w:ascii="Arial" w:cs="Arial" w:eastAsia="Arial" w:hAnsi="Arial"/>
                <w:sz w:val="18"/>
                <w:szCs w:val="18"/>
                <w:color w:val="auto"/>
                <w:w w:val="91"/>
              </w:rPr>
              <w:t>6,903,197 Ordinary Shares</w:t>
            </w:r>
          </w:p>
        </w:tc>
      </w:tr>
      <w:tr>
        <w:trPr>
          <w:trHeight w:val="566"/>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960" w:type="dxa"/>
            <w:vAlign w:val="bottom"/>
            <w:gridSpan w:val="2"/>
          </w:tcPr>
          <w:p>
            <w:pPr>
              <w:ind w:left="220"/>
              <w:spacing w:after="0"/>
              <w:rPr>
                <w:sz w:val="20"/>
                <w:szCs w:val="20"/>
                <w:color w:val="auto"/>
              </w:rPr>
            </w:pPr>
            <w:r>
              <w:rPr>
                <w:rFonts w:ascii="Arial" w:cs="Arial" w:eastAsia="Arial" w:hAnsi="Arial"/>
                <w:sz w:val="18"/>
                <w:szCs w:val="18"/>
                <w:b w:val="1"/>
                <w:bCs w:val="1"/>
                <w:color w:val="auto"/>
              </w:rPr>
              <w:t>Ownership of 5 Percent or Less of a Class.</w:t>
            </w:r>
          </w:p>
        </w:tc>
        <w:tc>
          <w:tcPr>
            <w:tcW w:w="35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 of 10</w:t>
      </w:r>
    </w:p>
    <w:p>
      <w:pPr>
        <w:sectPr>
          <w:pgSz w:w="11900" w:h="16838" w:orient="portrait"/>
          <w:cols w:equalWidth="0" w:num="1">
            <w:col w:w="10320"/>
          </w:cols>
          <w:pgMar w:left="440" w:top="270" w:right="11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Ireland Holdings</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Savage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Savage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Michael S. Dell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Potts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Potts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10</w:t>
      </w:r>
    </w:p>
    <w:p>
      <w:pPr>
        <w:sectPr>
          <w:pgSz w:w="11900" w:h="16838" w:orient="portrait"/>
          <w:cols w:equalWidth="0" w:num="1">
            <w:col w:w="11020"/>
          </w:cols>
          <w:pgMar w:left="440" w:top="270" w:right="439" w:bottom="1440" w:gutter="0" w:footer="0" w:header="0"/>
        </w:sectPr>
      </w:pPr>
    </w:p>
    <w:bookmarkStart w:id="9" w:name="page10"/>
    <w:bookmarkEnd w:id="9"/>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 of Exhibit</w:t>
      </w:r>
    </w:p>
    <w:p>
      <w:pPr>
        <w:spacing w:after="0" w:line="25" w:lineRule="exact"/>
        <w:rPr>
          <w:sz w:val="20"/>
          <w:szCs w:val="20"/>
          <w:color w:val="auto"/>
        </w:rPr>
      </w:pPr>
    </w:p>
    <w:p>
      <w:pPr>
        <w:ind w:left="1084" w:hanging="1084"/>
        <w:spacing w:after="0"/>
        <w:tabs>
          <w:tab w:leader="none" w:pos="10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Power of Attorney of Michael S. Dell</w:t>
      </w:r>
    </w:p>
    <w:p>
      <w:pPr>
        <w:spacing w:after="0" w:line="101" w:lineRule="exact"/>
        <w:rPr>
          <w:sz w:val="20"/>
          <w:szCs w:val="20"/>
          <w:color w:val="auto"/>
        </w:rPr>
      </w:pPr>
    </w:p>
    <w:p>
      <w:pPr>
        <w:ind w:left="1084" w:hanging="1084"/>
        <w:spacing w:after="0"/>
        <w:tabs>
          <w:tab w:leader="none" w:pos="10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58" w:lineRule="exact"/>
        <w:rPr>
          <w:sz w:val="20"/>
          <w:szCs w:val="20"/>
          <w:color w:val="auto"/>
        </w:rPr>
      </w:pPr>
    </w:p>
    <w:p>
      <w:pPr>
        <w:ind w:left="5204"/>
        <w:spacing w:after="0"/>
        <w:rPr>
          <w:sz w:val="20"/>
          <w:szCs w:val="20"/>
          <w:color w:val="auto"/>
        </w:rPr>
      </w:pPr>
      <w:r>
        <w:rPr>
          <w:rFonts w:ascii="Arial" w:cs="Arial" w:eastAsia="Arial" w:hAnsi="Arial"/>
          <w:sz w:val="18"/>
          <w:szCs w:val="18"/>
          <w:color w:val="auto"/>
        </w:rPr>
        <w:t>10 of 10</w:t>
      </w:r>
    </w:p>
    <w:p>
      <w:pPr>
        <w:sectPr>
          <w:pgSz w:w="11900" w:h="16838" w:orient="portrait"/>
          <w:cols w:equalWidth="0" w:num="1">
            <w:col w:w="10023"/>
          </w:cols>
          <w:pgMar w:left="436"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KNOW ALL BY THESE PRESENTS, that Michael S. Dell hereby constitutes and appoints each of Robert Potts and James Williamson, signing singly, as his true and lawful attorney-in-fact and agent, with full power and authority and full power of substitution and revocation, for, in the name of, and on behalf of Michael S. Dell, in any and all capacities, to:</w:t>
      </w:r>
    </w:p>
    <w:p>
      <w:pPr>
        <w:spacing w:after="0" w:line="89" w:lineRule="exact"/>
        <w:rPr>
          <w:sz w:val="20"/>
          <w:szCs w:val="20"/>
          <w:color w:val="auto"/>
        </w:rPr>
      </w:pPr>
    </w:p>
    <w:p>
      <w:pPr>
        <w:ind w:left="960" w:right="140" w:hanging="532"/>
        <w:spacing w:after="0" w:line="31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execute any and all filings with respect to JFrog Ltd. required by Michael S. Dell under Section 13 or Section 16 of the Securities Exchange Act of 1934, as amended (the “Act”) (or any similar rule with respect to foreign securities exchanges), or any rule or regulation thereunder (including any amendment, supplement and/or exhibit thereto), for, in the name of, and on behalf of Michael S. Dell;</w:t>
      </w:r>
    </w:p>
    <w:p>
      <w:pPr>
        <w:spacing w:after="0" w:line="54"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and perform any and all acts for, in the name of, and on behalf of Michael S. Dell which such attorney-in-fact and agent determines may be necessary or appropriate to complete and execute any and all such filings, amendments, supplements and/or exhibits, and any and all other document(s) in connection therewith;</w:t>
      </w:r>
    </w:p>
    <w:p>
      <w:pPr>
        <w:spacing w:after="0" w:line="89" w:lineRule="exact"/>
        <w:rPr>
          <w:rFonts w:ascii="Arial" w:cs="Arial" w:eastAsia="Arial" w:hAnsi="Arial"/>
          <w:sz w:val="18"/>
          <w:szCs w:val="18"/>
          <w:color w:val="auto"/>
        </w:rPr>
      </w:pPr>
    </w:p>
    <w:p>
      <w:pPr>
        <w:ind w:left="960" w:right="220" w:hanging="532"/>
        <w:spacing w:after="0" w:line="25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such reports, filings, amendments, supplements, exhibits, and/or documents with any governmental office or agency, whether United States, foreign, state or local government (including, without limitation, the U.S. Securities and Exchange Commission (the “SEC”) and state securities administrators or commissions), or any securities exchange or securities quotation system (including, without limitation, The Nasdaq Stock Exchange LLC), as may be required under applicable laws or rules and regulations of any securities exchange or securities quotation system; and</w:t>
      </w:r>
    </w:p>
    <w:p>
      <w:pPr>
        <w:spacing w:after="0" w:line="93" w:lineRule="exact"/>
        <w:rPr>
          <w:rFonts w:ascii="Arial" w:cs="Arial" w:eastAsia="Arial" w:hAnsi="Arial"/>
          <w:sz w:val="18"/>
          <w:szCs w:val="18"/>
          <w:color w:val="auto"/>
        </w:rPr>
      </w:pPr>
    </w:p>
    <w:p>
      <w:pPr>
        <w:ind w:left="960" w:right="20" w:hanging="532"/>
        <w:spacing w:after="0" w:line="275"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 any and all other acts that such attorney-in-fact and agent determines may be necessary or appropriate in connection with the foregoing that may be in the best interest of or legally required by Michael S. Dell, granting unto such attorney-in-fact and agent full power and authority to do and perform each and every act and thing requisite or necessary to be done in and about the premises, as fully to all intents and purposes as Michael S. Dell might or could do in person, hereby ratifying and confirming all that such attorney-in-fact and agent, or such attorney-in-fact and agent’s substitute or substitutes, shall do or cause to be done by virtue hereof.</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Michael S. Dell hereby acknowledges that each such attorney-in-fact and agent is serving in such capacity at the request of Michael S. Dell and is not assuming any of Michael S. Dell’s responsibilities to comply with Section 13 or Section 16 of the Act and the rules and regulations promulgated thereunder. The authority of each of the foregoing attorneys-in-fact and agents under this Power of Attorney shall continue until Michael S. Dell is no longer required to file beneficial ownership reports or statements with regard to his ownership of or transactions in securities of JFrog Ltd., unless earlier revoked in writing.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Michael S. Dell has caused this Power of Attorney to be executed and effective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S. DELL</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Michael S. Dell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S. Dell</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17" w:lineRule="exact"/>
        <w:rPr>
          <w:sz w:val="20"/>
          <w:szCs w:val="20"/>
          <w:color w:val="auto"/>
        </w:rPr>
      </w:pPr>
    </w:p>
    <w:p>
      <w:pPr>
        <w:ind w:right="360" w:firstLine="436"/>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62" w:lineRule="exact"/>
        <w:rPr>
          <w:rFonts w:ascii="Arial" w:cs="Arial" w:eastAsia="Arial" w:hAnsi="Arial"/>
          <w:sz w:val="18"/>
          <w:szCs w:val="18"/>
          <w:color w:val="auto"/>
        </w:rPr>
      </w:pPr>
    </w:p>
    <w:p>
      <w:pPr>
        <w:ind w:right="60" w:firstLine="436"/>
        <w:spacing w:after="0" w:line="311"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Ireland Holdings</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Savage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Savage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Michael S. Dell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Potts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Potts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3"/>
    </w:lvl>
    <w:lvl w:ilvl="1">
      <w:lvlJc w:val="left"/>
      <w:lvlText w:val="(%2)"/>
      <w:numFmt w:val="lowerRoman"/>
      <w:start w:val="1"/>
    </w:lvl>
  </w:abstractNum>
  <w:abstractNum w:abstractNumId="10">
    <w:nsid w:val="DED7263"/>
    <w:multiLevelType w:val="hybridMultilevel"/>
    <w:lvl w:ilvl="0">
      <w:lvlJc w:val="left"/>
      <w:lvlText w:val="%1"/>
      <w:numFmt w:val="decimal"/>
      <w:start w:val="1"/>
    </w:lvl>
    <w:lvl w:ilvl="1">
      <w:lvlJc w:val="left"/>
      <w:lvlText w:val="(%2)"/>
      <w:numFmt w:val="lowerRoman"/>
      <w:start w:val="3"/>
    </w:lvl>
  </w:abstractNum>
  <w:abstractNum w:abstractNumId="11">
    <w:nsid w:val="7FDCC233"/>
    <w:multiLevelType w:val="hybridMultilevel"/>
    <w:lvl w:ilvl="0">
      <w:lvlJc w:val="left"/>
      <w:lvlText w:val="(%1)"/>
      <w:numFmt w:val="decimal"/>
      <w:start w:val="1"/>
    </w:lvl>
    <w:lvl w:ilvl="1">
      <w:lvlJc w:val="left"/>
      <w:lvlText w:val="%2"/>
      <w:numFmt w:val="lowerRoman"/>
      <w:start w:val="1"/>
    </w:lvl>
  </w:abstractNum>
  <w:abstractNum w:abstractNumId="12">
    <w:nsid w:val="1BEFD79F"/>
    <w:multiLevelType w:val="hybridMultilevel"/>
    <w:lvl w:ilvl="0">
      <w:lvlJc w:val="left"/>
      <w:lvlText w:val="(%1)"/>
      <w:numFmt w:val="lowerRoman"/>
      <w:start w:val="4"/>
    </w:lvl>
  </w:abstractNum>
  <w:abstractNum w:abstractNumId="13">
    <w:nsid w:val="41A7C4C9"/>
    <w:multiLevelType w:val="hybridMultilevel"/>
    <w:lvl w:ilvl="0">
      <w:lvlJc w:val="left"/>
      <w:lvlText w:val="1"/>
      <w:numFmt w:val="bullet"/>
      <w:start w:val="1"/>
    </w:lvl>
  </w:abstractNum>
  <w:abstractNum w:abstractNumId="14">
    <w:nsid w:val="6B68079A"/>
    <w:multiLevelType w:val="hybridMultilevel"/>
    <w:lvl w:ilvl="0">
      <w:lvlJc w:val="left"/>
      <w:lvlText w:val="2"/>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2021-02-16T16:57:22Z</dcterms:created>
  <dcterms:modified xsi:type="dcterms:W3CDTF">2021-02-16T16:57:22Z</dcterms:modified>
</cp:coreProperties>
</file>