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6997065" cy="8809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809355"/>
                    </a:xfrm>
                    <a:prstGeom prst="rect">
                      <a:avLst/>
                    </a:prstGeom>
                    <a:noFill/>
                  </pic:spPr>
                </pic:pic>
              </a:graphicData>
            </a:graphic>
          </wp:anchor>
        </w:drawing>
      </w:r>
    </w:p>
    <w:p>
      <w:pPr>
        <w:spacing w:after="0" w:line="1025" w:lineRule="exact"/>
        <w:rPr>
          <w:sz w:val="24"/>
          <w:szCs w:val="24"/>
          <w:color w:val="auto"/>
        </w:rPr>
      </w:pPr>
    </w:p>
    <w:p>
      <w:pPr>
        <w:sectPr>
          <w:pgSz w:w="11900" w:h="16838" w:orient="portrait"/>
          <w:cols w:equalWidth="0" w:num="2">
            <w:col w:w="2320" w:space="340"/>
            <w:col w:w="8320"/>
          </w:cols>
          <w:pgMar w:left="460" w:top="215" w:right="459" w:bottom="134"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60" w:type="dxa"/>
            <w:vAlign w:val="bottom"/>
          </w:tcPr>
          <w:p>
            <w:pPr>
              <w:spacing w:after="0"/>
              <w:rPr>
                <w:sz w:val="15"/>
                <w:szCs w:val="15"/>
                <w:color w:val="auto"/>
              </w:rPr>
            </w:pPr>
          </w:p>
        </w:tc>
        <w:tc>
          <w:tcPr>
            <w:tcW w:w="2780" w:type="dxa"/>
            <w:vAlign w:val="bottom"/>
            <w:gridSpan w:val="5"/>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vMerge w:val="restart"/>
          </w:tcPr>
          <w:p>
            <w:pPr>
              <w:ind w:left="22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3"/>
            <w:vMerge w:val="restart"/>
          </w:tcPr>
          <w:p>
            <w:pPr>
              <w:ind w:left="6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vMerge w:val="restart"/>
          </w:tcPr>
          <w:p>
            <w:pPr>
              <w:ind w:left="220"/>
              <w:spacing w:after="0"/>
              <w:rPr>
                <w:sz w:val="20"/>
                <w:szCs w:val="20"/>
                <w:color w:val="auto"/>
              </w:rPr>
            </w:pPr>
            <w:r>
              <w:rPr>
                <w:rFonts w:ascii="Arial" w:cs="Arial" w:eastAsia="Arial" w:hAnsi="Arial"/>
                <w:sz w:val="13"/>
                <w:szCs w:val="13"/>
                <w:color w:val="auto"/>
                <w:w w:val="97"/>
              </w:rPr>
              <w:t>Officer (give title</w:t>
            </w:r>
          </w:p>
        </w:tc>
        <w:tc>
          <w:tcPr>
            <w:tcW w:w="1780" w:type="dxa"/>
            <w:vAlign w:val="bottom"/>
            <w:gridSpan w:val="3"/>
            <w:vMerge w:val="restart"/>
          </w:tcPr>
          <w:p>
            <w:pPr>
              <w:ind w:left="6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520" w:type="dxa"/>
            <w:vAlign w:val="bottom"/>
          </w:tcPr>
          <w:p>
            <w:pPr>
              <w:ind w:left="40"/>
              <w:spacing w:after="0"/>
              <w:rPr>
                <w:sz w:val="20"/>
                <w:szCs w:val="20"/>
                <w:color w:val="auto"/>
              </w:rPr>
            </w:pPr>
            <w:r>
              <w:rPr>
                <w:rFonts w:ascii="Arial" w:cs="Arial" w:eastAsia="Arial" w:hAnsi="Arial"/>
                <w:sz w:val="13"/>
                <w:szCs w:val="13"/>
                <w:color w:val="auto"/>
                <w:w w:val="97"/>
              </w:rPr>
              <w:t>(Middle)</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below)</w:t>
            </w:r>
          </w:p>
        </w:tc>
        <w:tc>
          <w:tcPr>
            <w:tcW w:w="1780" w:type="dxa"/>
            <w:vAlign w:val="bottom"/>
            <w:gridSpan w:val="3"/>
          </w:tcPr>
          <w:p>
            <w:pPr>
              <w:ind w:left="6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06/11/2026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9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60" w:type="dxa"/>
            <w:vAlign w:val="bottom"/>
            <w:gridSpan w:val="6"/>
            <w:vMerge w:val="restart"/>
          </w:tcPr>
          <w:p>
            <w:pPr>
              <w:spacing w:after="0"/>
              <w:rPr>
                <w:sz w:val="20"/>
                <w:szCs w:val="20"/>
                <w:color w:val="auto"/>
              </w:rPr>
            </w:pPr>
            <w:r>
              <w:rPr>
                <w:rFonts w:ascii="Arial" w:cs="Arial" w:eastAsia="Arial" w:hAnsi="Arial"/>
                <w:sz w:val="13"/>
                <w:szCs w:val="13"/>
                <w:color w:val="auto"/>
                <w:w w:val="97"/>
              </w:rPr>
              <w:t>4. If Amendment, Date of Original Filed (Month/Day/Year)</w:t>
            </w:r>
          </w:p>
        </w:tc>
        <w:tc>
          <w:tcPr>
            <w:tcW w:w="500" w:type="dxa"/>
            <w:vAlign w:val="bottom"/>
          </w:tcPr>
          <w:p>
            <w:pPr>
              <w:spacing w:after="0"/>
              <w:rPr>
                <w:sz w:val="6"/>
                <w:szCs w:val="6"/>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restart"/>
          </w:tcPr>
          <w:p>
            <w:pPr>
              <w:spacing w:after="0"/>
              <w:rPr>
                <w:sz w:val="3"/>
                <w:szCs w:val="3"/>
                <w:color w:val="auto"/>
              </w:rPr>
            </w:pPr>
          </w:p>
        </w:tc>
        <w:tc>
          <w:tcPr>
            <w:tcW w:w="38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tcPr>
          <w:p>
            <w:pPr>
              <w:ind w:left="100"/>
              <w:spacing w:after="0" w:line="176" w:lineRule="exact"/>
              <w:rPr>
                <w:sz w:val="20"/>
                <w:szCs w:val="20"/>
                <w:color w:val="auto"/>
              </w:rPr>
            </w:pPr>
            <w:r>
              <w:rPr>
                <w:rFonts w:ascii="Times New Roman" w:cs="Times New Roman" w:eastAsia="Times New Roman" w:hAnsi="Times New Roman"/>
                <w:sz w:val="16"/>
                <w:szCs w:val="16"/>
                <w:color w:val="0000FF"/>
              </w:rPr>
              <w:t>CA</w:t>
            </w:r>
          </w:p>
        </w:tc>
        <w:tc>
          <w:tcPr>
            <w:tcW w:w="52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94025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ind w:left="220"/>
              <w:spacing w:after="0"/>
              <w:rPr>
                <w:sz w:val="20"/>
                <w:szCs w:val="20"/>
                <w:color w:val="auto"/>
              </w:rPr>
            </w:pPr>
            <w:r>
              <w:rPr>
                <w:rFonts w:ascii="Arial" w:cs="Arial" w:eastAsia="Arial" w:hAnsi="Arial"/>
                <w:sz w:val="13"/>
                <w:szCs w:val="13"/>
                <w:color w:val="auto"/>
              </w:rPr>
              <w:t>Person</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0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40" w:type="dxa"/>
            <w:vAlign w:val="bottom"/>
            <w:tcBorders>
              <w:bottom w:val="single" w:sz="8" w:color="2C2C2C"/>
            </w:tcBorders>
            <w:gridSpan w:val="4"/>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60" w:type="dxa"/>
            <w:vAlign w:val="bottom"/>
            <w:tcBorders>
              <w:top w:val="single" w:sz="8" w:color="2C2C2C"/>
            </w:tcBorders>
            <w:gridSpan w:val="15"/>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5"/>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9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6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940" w:type="dxa"/>
            <w:vAlign w:val="bottom"/>
            <w:gridSpan w:val="2"/>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1,209</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1,209</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370.4</w:t>
            </w:r>
            <w:r>
              <w:rPr>
                <w:rFonts w:ascii="Times New Roman" w:cs="Times New Roman" w:eastAsia="Times New Roman" w:hAnsi="Times New Roman"/>
                <w:sz w:val="20"/>
                <w:szCs w:val="20"/>
                <w:color w:val="008000"/>
                <w:w w:val="92"/>
                <w:vertAlign w:val="superscript"/>
              </w:rPr>
              <w:t>(10)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1,181</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371.55</w:t>
            </w:r>
            <w:r>
              <w:rPr>
                <w:rFonts w:ascii="Times New Roman" w:cs="Times New Roman" w:eastAsia="Times New Roman" w:hAnsi="Times New Roman"/>
                <w:sz w:val="20"/>
                <w:szCs w:val="20"/>
                <w:color w:val="008000"/>
                <w:w w:val="93"/>
                <w:vertAlign w:val="superscript"/>
              </w:rPr>
              <w:t>(11)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1,164</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372.6</w:t>
            </w:r>
            <w:r>
              <w:rPr>
                <w:rFonts w:ascii="Times New Roman" w:cs="Times New Roman" w:eastAsia="Times New Roman" w:hAnsi="Times New Roman"/>
                <w:sz w:val="20"/>
                <w:szCs w:val="20"/>
                <w:color w:val="008000"/>
                <w:w w:val="92"/>
                <w:vertAlign w:val="superscript"/>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1,131</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373.59</w:t>
            </w:r>
            <w:r>
              <w:rPr>
                <w:rFonts w:ascii="Times New Roman" w:cs="Times New Roman" w:eastAsia="Times New Roman" w:hAnsi="Times New Roman"/>
                <w:sz w:val="20"/>
                <w:szCs w:val="20"/>
                <w:color w:val="008000"/>
                <w:w w:val="93"/>
                <w:vertAlign w:val="superscript"/>
              </w:rPr>
              <w:t>(13)</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1,070</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7"/>
                <w:szCs w:val="17"/>
                <w:color w:val="auto"/>
              </w:rPr>
            </w:pPr>
          </w:p>
        </w:tc>
        <w:tc>
          <w:tcPr>
            <w:tcW w:w="10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374.68</w:t>
            </w:r>
            <w:r>
              <w:rPr>
                <w:rFonts w:ascii="Times New Roman" w:cs="Times New Roman" w:eastAsia="Times New Roman" w:hAnsi="Times New Roman"/>
                <w:sz w:val="20"/>
                <w:szCs w:val="20"/>
                <w:color w:val="008000"/>
                <w:w w:val="93"/>
                <w:vertAlign w:val="superscript"/>
              </w:rPr>
              <w:t>(14)</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983</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2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49</w:t>
            </w:r>
          </w:p>
        </w:tc>
        <w:tc>
          <w:tcPr>
            <w:tcW w:w="4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gridSpan w:val="2"/>
          </w:tcPr>
          <w:p>
            <w:pPr>
              <w:jc w:val="center"/>
              <w:spacing w:after="0" w:line="219" w:lineRule="exact"/>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375.6</w:t>
            </w:r>
            <w:r>
              <w:rPr>
                <w:rFonts w:ascii="Times New Roman" w:cs="Times New Roman" w:eastAsia="Times New Roman" w:hAnsi="Times New Roman"/>
                <w:sz w:val="20"/>
                <w:szCs w:val="20"/>
                <w:color w:val="008000"/>
                <w:w w:val="92"/>
                <w:vertAlign w:val="superscript"/>
              </w:rPr>
              <w:t>(15)</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934</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6"/>
          <w:szCs w:val="16"/>
          <w:color w:val="0000FF"/>
        </w:rPr>
        <w:t>Technology</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Investors</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IV, L.P.</w:t>
      </w:r>
      <w:r>
        <w:rPr>
          <w:rFonts w:ascii="Times New Roman" w:cs="Times New Roman" w:eastAsia="Times New Roman" w:hAnsi="Times New Roman"/>
          <w:sz w:val="20"/>
          <w:szCs w:val="20"/>
          <w:color w:val="008000"/>
          <w:vertAlign w:val="superscript"/>
        </w:rPr>
        <w:t>(3)(4)</w:t>
      </w:r>
    </w:p>
    <w:p>
      <w:pPr>
        <w:sectPr>
          <w:pgSz w:w="11900" w:h="16838" w:orient="portrait"/>
          <w:cols w:equalWidth="0" w:num="1">
            <w:col w:w="10980"/>
          </w:cols>
          <w:pgMar w:left="460" w:top="215" w:right="459" w:bottom="13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065" cy="1052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065" cy="10525760"/>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jc w:val="center"/>
              <w:ind w:left="564"/>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87</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376.66</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847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107</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377.76</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741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157</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378.66</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584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102</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379.69</w:t>
            </w:r>
            <w:r>
              <w:rPr>
                <w:rFonts w:ascii="Times New Roman" w:cs="Times New Roman" w:eastAsia="Times New Roman" w:hAnsi="Times New Roman"/>
                <w:sz w:val="20"/>
                <w:szCs w:val="20"/>
                <w:color w:val="008000"/>
                <w:w w:val="93"/>
                <w:vertAlign w:val="superscript"/>
              </w:rPr>
              <w:t>(19)</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482</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73</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380.6</w:t>
            </w:r>
            <w:r>
              <w:rPr>
                <w:rFonts w:ascii="Times New Roman" w:cs="Times New Roman" w:eastAsia="Times New Roman" w:hAnsi="Times New Roman"/>
                <w:sz w:val="20"/>
                <w:szCs w:val="20"/>
                <w:color w:val="008000"/>
                <w:w w:val="92"/>
                <w:vertAlign w:val="superscript"/>
              </w:rPr>
              <w:t>(20)</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409</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24</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381.53</w:t>
            </w:r>
            <w:r>
              <w:rPr>
                <w:rFonts w:ascii="Times New Roman" w:cs="Times New Roman" w:eastAsia="Times New Roman" w:hAnsi="Times New Roman"/>
                <w:sz w:val="20"/>
                <w:szCs w:val="20"/>
                <w:color w:val="008000"/>
                <w:w w:val="93"/>
                <w:vertAlign w:val="superscript"/>
              </w:rPr>
              <w:t>(21)</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386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21</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382.83</w:t>
            </w:r>
            <w:r>
              <w:rPr>
                <w:rFonts w:ascii="Times New Roman" w:cs="Times New Roman" w:eastAsia="Times New Roman" w:hAnsi="Times New Roman"/>
                <w:sz w:val="20"/>
                <w:szCs w:val="20"/>
                <w:color w:val="008000"/>
                <w:w w:val="93"/>
                <w:vertAlign w:val="superscript"/>
              </w:rPr>
              <w:t>(22)</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364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40</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383.91</w:t>
            </w:r>
            <w:r>
              <w:rPr>
                <w:rFonts w:ascii="Times New Roman" w:cs="Times New Roman" w:eastAsia="Times New Roman" w:hAnsi="Times New Roman"/>
                <w:sz w:val="20"/>
                <w:szCs w:val="20"/>
                <w:color w:val="008000"/>
                <w:w w:val="93"/>
                <w:vertAlign w:val="superscript"/>
              </w:rPr>
              <w:t>(23)</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325</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79</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384.78</w:t>
            </w:r>
            <w:r>
              <w:rPr>
                <w:rFonts w:ascii="Times New Roman" w:cs="Times New Roman" w:eastAsia="Times New Roman" w:hAnsi="Times New Roman"/>
                <w:sz w:val="20"/>
                <w:szCs w:val="20"/>
                <w:color w:val="008000"/>
                <w:w w:val="93"/>
                <w:vertAlign w:val="superscript"/>
              </w:rPr>
              <w:t>(24)</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246</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23</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385.87</w:t>
            </w:r>
            <w:r>
              <w:rPr>
                <w:rFonts w:ascii="Times New Roman" w:cs="Times New Roman" w:eastAsia="Times New Roman" w:hAnsi="Times New Roman"/>
                <w:sz w:val="20"/>
                <w:szCs w:val="20"/>
                <w:color w:val="008000"/>
                <w:w w:val="93"/>
                <w:vertAlign w:val="superscript"/>
              </w:rPr>
              <w:t>(25)</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223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4"/>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44"/>
              <w:spacing w:after="0"/>
              <w:rPr>
                <w:sz w:val="20"/>
                <w:szCs w:val="20"/>
                <w:color w:val="auto"/>
              </w:rPr>
            </w:pPr>
            <w:r>
              <w:rPr>
                <w:rFonts w:ascii="Times New Roman" w:cs="Times New Roman" w:eastAsia="Times New Roman" w:hAnsi="Times New Roman"/>
                <w:sz w:val="16"/>
                <w:szCs w:val="16"/>
                <w:color w:val="0000FF"/>
                <w:w w:val="99"/>
              </w:rPr>
              <w:t>55</w:t>
            </w:r>
          </w:p>
        </w:tc>
        <w:tc>
          <w:tcPr>
            <w:tcW w:w="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386.77</w:t>
            </w:r>
            <w:r>
              <w:rPr>
                <w:rFonts w:ascii="Times New Roman" w:cs="Times New Roman" w:eastAsia="Times New Roman" w:hAnsi="Times New Roman"/>
                <w:sz w:val="20"/>
                <w:szCs w:val="20"/>
                <w:color w:val="008000"/>
                <w:w w:val="93"/>
                <w:vertAlign w:val="superscript"/>
              </w:rPr>
              <w:t>(26)</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6"/>
                <w:szCs w:val="16"/>
                <w:color w:val="0000FF"/>
              </w:rPr>
              <w:t>168</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89" w:right="479" w:bottom="652" w:gutter="0" w:footer="0" w:header="0"/>
        </w:sectPr>
      </w:pPr>
    </w:p>
    <w:p>
      <w:pPr>
        <w:ind w:left="10100"/>
        <w:spacing w:after="0" w:line="200"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0940"/>
          </w:cols>
          <w:pgMar w:left="480" w:top="189" w:right="479" w:bottom="652"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065" cy="1052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065" cy="10525760"/>
                    </a:xfrm>
                    <a:prstGeom prst="rect">
                      <a:avLst/>
                    </a:prstGeom>
                    <a:noFill/>
                  </pic:spPr>
                </pic:pic>
              </a:graphicData>
            </a:graphic>
          </wp:anchor>
        </w:drawing>
        <w:t>Table I - Non-Derivative Securities Acquired, Disposed of, or Beneficially Owned</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ind w:left="70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Form: 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jc w:val="center"/>
              <w:ind w:left="569"/>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(D) or Indirect</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6" w:lineRule="exact"/>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9"/>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25</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387.78</w:t>
            </w:r>
            <w:r>
              <w:rPr>
                <w:rFonts w:ascii="Times New Roman" w:cs="Times New Roman" w:eastAsia="Times New Roman" w:hAnsi="Times New Roman"/>
                <w:sz w:val="20"/>
                <w:szCs w:val="20"/>
                <w:color w:val="008000"/>
                <w:vertAlign w:val="superscript"/>
              </w:rPr>
              <w:t>(27)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143</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9"/>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43</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388.94</w:t>
            </w:r>
            <w:r>
              <w:rPr>
                <w:rFonts w:ascii="Times New Roman" w:cs="Times New Roman" w:eastAsia="Times New Roman" w:hAnsi="Times New Roman"/>
                <w:sz w:val="20"/>
                <w:szCs w:val="20"/>
                <w:color w:val="008000"/>
                <w:vertAlign w:val="superscript"/>
              </w:rPr>
              <w:t>(28)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9"/>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61</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390.03</w:t>
            </w:r>
            <w:r>
              <w:rPr>
                <w:rFonts w:ascii="Times New Roman" w:cs="Times New Roman" w:eastAsia="Times New Roman" w:hAnsi="Times New Roman"/>
                <w:sz w:val="20"/>
                <w:szCs w:val="20"/>
                <w:color w:val="008000"/>
                <w:vertAlign w:val="superscript"/>
              </w:rPr>
              <w:t>(29)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63"/>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37"/>
        </w:trPr>
        <w:tc>
          <w:tcPr>
            <w:tcW w:w="2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Investors</w:t>
            </w:r>
          </w:p>
        </w:tc>
        <w:tc>
          <w:tcPr>
            <w:tcW w:w="0" w:type="dxa"/>
            <w:vAlign w:val="bottom"/>
          </w:tcPr>
          <w:p>
            <w:pPr>
              <w:spacing w:after="0"/>
              <w:rPr>
                <w:sz w:val="1"/>
                <w:szCs w:val="1"/>
                <w:color w:val="auto"/>
              </w:rPr>
            </w:pPr>
          </w:p>
        </w:tc>
      </w:tr>
      <w:tr>
        <w:trPr>
          <w:trHeight w:val="269"/>
        </w:trPr>
        <w:tc>
          <w:tcPr>
            <w:tcW w:w="236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9"/>
              </w:rPr>
              <w:t>IV, L.P.</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1"/>
        </w:trPr>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680" w:type="dxa"/>
            <w:vAlign w:val="bottom"/>
            <w:vMerge w:val="restart"/>
          </w:tcPr>
          <w:p>
            <w:pPr>
              <w:jc w:val="center"/>
              <w:ind w:left="569"/>
              <w:spacing w:after="0"/>
              <w:rPr>
                <w:sz w:val="20"/>
                <w:szCs w:val="20"/>
                <w:color w:val="auto"/>
              </w:rPr>
            </w:pPr>
            <w:r>
              <w:rPr>
                <w:rFonts w:ascii="Times New Roman" w:cs="Times New Roman" w:eastAsia="Times New Roman" w:hAnsi="Times New Roman"/>
                <w:sz w:val="16"/>
                <w:szCs w:val="16"/>
                <w:color w:val="0000FF"/>
                <w:w w:val="98"/>
              </w:rPr>
              <w:t>06/11/2026</w:t>
            </w:r>
          </w:p>
        </w:tc>
        <w:tc>
          <w:tcPr>
            <w:tcW w:w="106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color w:val="0000FF"/>
              </w:rPr>
              <w:t>40</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880" w:type="dxa"/>
            <w:vAlign w:val="bottom"/>
            <w:vMerge w:val="restart"/>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390.92</w:t>
            </w:r>
            <w:r>
              <w:rPr>
                <w:rFonts w:ascii="Times New Roman" w:cs="Times New Roman" w:eastAsia="Times New Roman" w:hAnsi="Times New Roman"/>
                <w:sz w:val="20"/>
                <w:szCs w:val="20"/>
                <w:color w:val="008000"/>
                <w:vertAlign w:val="superscript"/>
              </w:rPr>
              <w:t>(30)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172"/>
        </w:trPr>
        <w:tc>
          <w:tcPr>
            <w:tcW w:w="23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20"/>
        <w:spacing w:after="0" w:line="200"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89" w:right="359" w:bottom="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Held</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through</w:t>
      </w:r>
    </w:p>
    <w:p>
      <w:pPr>
        <w:spacing w:after="0" w:line="17" w:lineRule="exact"/>
        <w:rPr>
          <w:sz w:val="20"/>
          <w:szCs w:val="20"/>
          <w:color w:val="auto"/>
        </w:rPr>
      </w:pPr>
    </w:p>
    <w:p>
      <w:pPr>
        <w:ind w:left="80"/>
        <w:spacing w:after="0"/>
        <w:tabs>
          <w:tab w:leader="none" w:pos="8400" w:val="left"/>
          <w:tab w:leader="none" w:pos="9560" w:val="left"/>
          <w:tab w:leader="none" w:pos="10100" w:val="left"/>
        </w:tabs>
        <w:rPr>
          <w:sz w:val="20"/>
          <w:szCs w:val="20"/>
          <w:color w:val="auto"/>
        </w:rPr>
      </w:pPr>
      <w:r>
        <w:rPr>
          <w:rFonts w:ascii="Times New Roman" w:cs="Times New Roman" w:eastAsia="Times New Roman" w:hAnsi="Times New Roman"/>
          <w:sz w:val="16"/>
          <w:szCs w:val="16"/>
          <w:color w:val="0000FF"/>
        </w:rPr>
        <w:t>Class C Common Stock</w:t>
      </w:r>
      <w:r>
        <w:rPr>
          <w:sz w:val="20"/>
          <w:szCs w:val="20"/>
          <w:color w:val="auto"/>
        </w:rPr>
        <w:tab/>
      </w:r>
      <w:r>
        <w:rPr>
          <w:rFonts w:ascii="Times New Roman" w:cs="Times New Roman" w:eastAsia="Times New Roman" w:hAnsi="Times New Roman"/>
          <w:sz w:val="16"/>
          <w:szCs w:val="16"/>
          <w:color w:val="0000FF"/>
        </w:rPr>
        <w:t>9,359</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16"/>
          <w:szCs w:val="16"/>
          <w:color w:val="0000FF"/>
        </w:rPr>
        <w:t>Silver Lake</w:t>
      </w:r>
    </w:p>
    <w:p>
      <w:pPr>
        <w:spacing w:after="0" w:line="1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0000FF"/>
        </w:rPr>
        <w:t>Group,</w:t>
      </w:r>
    </w:p>
    <w:p>
      <w:pPr>
        <w:ind w:left="10120"/>
        <w:spacing w:after="0" w:line="181" w:lineRule="auto"/>
        <w:rPr>
          <w:sz w:val="20"/>
          <w:szCs w:val="20"/>
          <w:color w:val="auto"/>
        </w:rPr>
      </w:pPr>
      <w:r>
        <w:rPr>
          <w:rFonts w:ascii="Times New Roman" w:cs="Times New Roman" w:eastAsia="Times New Roman" w:hAnsi="Times New Roman"/>
          <w:sz w:val="25"/>
          <w:szCs w:val="25"/>
          <w:color w:val="0000FF"/>
          <w:vertAlign w:val="subscript"/>
        </w:rPr>
        <w:t>L.L.C.</w:t>
      </w:r>
      <w:r>
        <w:rPr>
          <w:rFonts w:ascii="Times New Roman" w:cs="Times New Roman" w:eastAsia="Times New Roman" w:hAnsi="Times New Roman"/>
          <w:sz w:val="9"/>
          <w:szCs w:val="9"/>
          <w:color w:val="008000"/>
        </w:rPr>
        <w:t>(4)(5)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vMerge w:val="restart"/>
          </w:tcPr>
          <w:p>
            <w:pPr>
              <w:jc w:val="center"/>
              <w:ind w:left="311"/>
              <w:spacing w:after="0"/>
              <w:rPr>
                <w:sz w:val="20"/>
                <w:szCs w:val="20"/>
                <w:color w:val="auto"/>
              </w:rPr>
            </w:pPr>
            <w:r>
              <w:rPr>
                <w:rFonts w:ascii="Times New Roman" w:cs="Times New Roman" w:eastAsia="Times New Roman" w:hAnsi="Times New Roman"/>
                <w:sz w:val="16"/>
                <w:szCs w:val="16"/>
                <w:color w:val="0000FF"/>
                <w:w w:val="99"/>
              </w:rPr>
              <w:t>4,845</w:t>
            </w:r>
          </w:p>
        </w:tc>
        <w:tc>
          <w:tcPr>
            <w:tcW w:w="700" w:type="dxa"/>
            <w:vAlign w:val="bottom"/>
          </w:tcPr>
          <w:p>
            <w:pPr>
              <w:spacing w:after="0"/>
              <w:rPr>
                <w:sz w:val="17"/>
                <w:szCs w:val="17"/>
                <w:color w:val="auto"/>
              </w:rPr>
            </w:pP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164,214</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2"/>
          </w:tcPr>
          <w:p>
            <w:pPr>
              <w:jc w:val="center"/>
              <w:ind w:right="283"/>
              <w:spacing w:after="0"/>
              <w:rPr>
                <w:sz w:val="20"/>
                <w:szCs w:val="20"/>
                <w:color w:val="auto"/>
              </w:rPr>
            </w:pPr>
            <w:r>
              <w:rPr>
                <w:rFonts w:ascii="Times New Roman" w:cs="Times New Roman" w:eastAsia="Times New Roman" w:hAnsi="Times New Roman"/>
                <w:sz w:val="16"/>
                <w:szCs w:val="16"/>
                <w:color w:val="0000FF"/>
              </w:rPr>
              <w:t>1,317,963</w:t>
            </w:r>
          </w:p>
        </w:tc>
        <w:tc>
          <w:tcPr>
            <w:tcW w:w="900" w:type="dxa"/>
            <w:vAlign w:val="bottom"/>
            <w:tcBorders>
              <w:top w:val="single" w:sz="8" w:color="2C2C2C"/>
              <w:bottom w:val="single" w:sz="8" w:color="2C2C2C"/>
            </w:tcBorders>
            <w:gridSpan w:val="2"/>
          </w:tcPr>
          <w:p>
            <w:pPr>
              <w:jc w:val="center"/>
              <w:ind w:right="551"/>
              <w:spacing w:after="0" w:line="301"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47,234</w:t>
            </w:r>
          </w:p>
        </w:tc>
        <w:tc>
          <w:tcPr>
            <w:tcW w:w="18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9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1440" w:type="dxa"/>
            <w:vAlign w:val="bottom"/>
            <w:tcBorders>
              <w:top w:val="single" w:sz="8" w:color="2C2C2C"/>
            </w:tcBorders>
            <w:gridSpan w:val="2"/>
            <w:vMerge w:val="restart"/>
          </w:tcPr>
          <w:p>
            <w:pPr>
              <w:jc w:val="center"/>
              <w:ind w:right="263"/>
              <w:spacing w:after="0"/>
              <w:rPr>
                <w:sz w:val="20"/>
                <w:szCs w:val="20"/>
                <w:color w:val="auto"/>
              </w:rPr>
            </w:pPr>
            <w:r>
              <w:rPr>
                <w:rFonts w:ascii="Times New Roman" w:cs="Times New Roman" w:eastAsia="Times New Roman" w:hAnsi="Times New Roman"/>
                <w:sz w:val="16"/>
                <w:szCs w:val="16"/>
                <w:color w:val="0000FF"/>
                <w:w w:val="99"/>
              </w:rPr>
              <w:t>175,011</w:t>
            </w:r>
          </w:p>
        </w:tc>
        <w:tc>
          <w:tcPr>
            <w:tcW w:w="180" w:type="dxa"/>
            <w:vAlign w:val="bottom"/>
            <w:tcBorders>
              <w:top w:val="single" w:sz="8" w:color="2C2C2C"/>
            </w:tcBorders>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6"/>
                <w:szCs w:val="16"/>
                <w:color w:val="0000FF"/>
              </w:rPr>
              <w:t>See</w:t>
            </w:r>
          </w:p>
        </w:tc>
        <w:tc>
          <w:tcPr>
            <w:tcW w:w="5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2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8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Form:</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Beneficially</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Owned</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Following</w:t>
            </w:r>
          </w:p>
        </w:tc>
        <w:tc>
          <w:tcPr>
            <w:tcW w:w="18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Reported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line="126" w:lineRule="exact"/>
              <w:rPr>
                <w:sz w:val="20"/>
                <w:szCs w:val="20"/>
                <w:color w:val="auto"/>
              </w:rPr>
            </w:pPr>
            <w:r>
              <w:rPr>
                <w:rFonts w:ascii="Arial" w:cs="Arial" w:eastAsia="Arial" w:hAnsi="Arial"/>
                <w:sz w:val="11"/>
                <w:szCs w:val="11"/>
                <w:b w:val="1"/>
                <w:bCs w:val="1"/>
                <w:color w:val="auto"/>
              </w:rPr>
              <w:t>(Instr. 4)</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8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8" w:lineRule="exact"/>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Class B</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(1)(2)</w:t>
            </w: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Class C</w:t>
            </w:r>
          </w:p>
        </w:tc>
        <w:tc>
          <w:tcPr>
            <w:tcW w:w="86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color w:val="0000FF"/>
              </w:rPr>
              <w:t>1,209</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right w:val="single" w:sz="8" w:color="2C2C2C"/>
            </w:tcBorders>
            <w:gridSpan w:val="3"/>
          </w:tcPr>
          <w:p>
            <w:pPr>
              <w:ind w:left="20"/>
              <w:spacing w:after="0" w:line="139" w:lineRule="exact"/>
              <w:rPr>
                <w:sz w:val="20"/>
                <w:szCs w:val="20"/>
                <w:color w:val="auto"/>
              </w:rPr>
            </w:pPr>
            <w:r>
              <w:rPr>
                <w:rFonts w:ascii="Times New Roman" w:cs="Times New Roman" w:eastAsia="Times New Roman" w:hAnsi="Times New Roman"/>
                <w:sz w:val="13"/>
                <w:szCs w:val="13"/>
                <w:color w:val="0000FF"/>
              </w:rPr>
              <w:t>Silver Lake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06/11/2026</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7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1,209</w:t>
            </w: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860" w:type="dxa"/>
            <w:vAlign w:val="bottom"/>
            <w:vMerge w:val="continue"/>
          </w:tcPr>
          <w:p>
            <w:pPr>
              <w:spacing w:after="0"/>
              <w:rPr>
                <w:sz w:val="13"/>
                <w:szCs w:val="13"/>
                <w:color w:val="auto"/>
              </w:rPr>
            </w:pPr>
          </w:p>
        </w:tc>
        <w:tc>
          <w:tcPr>
            <w:tcW w:w="74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00" w:type="dxa"/>
            <w:vAlign w:val="bottom"/>
          </w:tcPr>
          <w:p>
            <w:pPr>
              <w:jc w:val="right"/>
              <w:ind w:right="43"/>
              <w:spacing w:after="0"/>
              <w:rPr>
                <w:sz w:val="20"/>
                <w:szCs w:val="20"/>
                <w:color w:val="auto"/>
              </w:rPr>
            </w:pPr>
            <w:r>
              <w:rPr>
                <w:rFonts w:ascii="Times New Roman" w:cs="Times New Roman" w:eastAsia="Times New Roman" w:hAnsi="Times New Roman"/>
                <w:sz w:val="13"/>
                <w:szCs w:val="13"/>
                <w:color w:val="0000FF"/>
              </w:rPr>
              <w:t>258,003</w:t>
            </w:r>
          </w:p>
        </w:tc>
        <w:tc>
          <w:tcPr>
            <w:tcW w:w="180" w:type="dxa"/>
            <w:vAlign w:val="bottom"/>
          </w:tcPr>
          <w:p>
            <w:pPr>
              <w:spacing w:after="0"/>
              <w:rPr>
                <w:sz w:val="13"/>
                <w:szCs w:val="13"/>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70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Technology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Borders>
              <w:right w:val="single" w:sz="8" w:color="2C2C2C"/>
            </w:tcBorders>
            <w:gridSpan w:val="3"/>
          </w:tcPr>
          <w:p>
            <w:pPr>
              <w:ind w:left="20"/>
              <w:spacing w:after="0" w:line="126" w:lineRule="exact"/>
              <w:rPr>
                <w:sz w:val="20"/>
                <w:szCs w:val="20"/>
                <w:color w:val="auto"/>
              </w:rPr>
            </w:pPr>
            <w:r>
              <w:rPr>
                <w:rFonts w:ascii="Times New Roman" w:cs="Times New Roman" w:eastAsia="Times New Roman" w:hAnsi="Times New Roman"/>
                <w:sz w:val="13"/>
                <w:szCs w:val="13"/>
                <w:color w:val="0000FF"/>
              </w:rPr>
              <w:t>Investors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Borders>
              <w:right w:val="single" w:sz="8" w:color="2C2C2C"/>
            </w:tcBorders>
            <w:gridSpan w:val="3"/>
          </w:tcPr>
          <w:p>
            <w:pPr>
              <w:ind w:left="20"/>
              <w:spacing w:after="0" w:line="158" w:lineRule="exact"/>
              <w:rPr>
                <w:sz w:val="20"/>
                <w:szCs w:val="20"/>
                <w:color w:val="auto"/>
              </w:rPr>
            </w:pPr>
            <w:r>
              <w:rPr>
                <w:rFonts w:ascii="Times New Roman" w:cs="Times New Roman" w:eastAsia="Times New Roman" w:hAnsi="Times New Roman"/>
                <w:sz w:val="11"/>
                <w:szCs w:val="11"/>
                <w:color w:val="0000FF"/>
              </w:rPr>
              <w:t>IV,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44,225,486</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vMerge w:val="restart"/>
          </w:tcPr>
          <w:p>
            <w:pPr>
              <w:ind w:left="8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10"/>
                <w:szCs w:val="10"/>
                <w:color w:val="0000FF"/>
              </w:rPr>
              <w:t>44,225,486</w:t>
            </w:r>
          </w:p>
        </w:tc>
        <w:tc>
          <w:tcPr>
            <w:tcW w:w="180" w:type="dxa"/>
            <w:vAlign w:val="bottom"/>
          </w:tcPr>
          <w:p>
            <w:pPr>
              <w:spacing w:after="0"/>
              <w:rPr>
                <w:sz w:val="3"/>
                <w:szCs w:val="3"/>
                <w:color w:val="auto"/>
              </w:rPr>
            </w:pPr>
          </w:p>
        </w:tc>
        <w:tc>
          <w:tcPr>
            <w:tcW w:w="720" w:type="dxa"/>
            <w:vAlign w:val="bottom"/>
            <w:vMerge w:val="restart"/>
          </w:tcPr>
          <w:p>
            <w:pPr>
              <w:ind w:left="3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0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00" w:type="dxa"/>
            <w:vAlign w:val="bottom"/>
            <w:tcBorders>
              <w:right w:val="single" w:sz="8" w:color="2C2C2C"/>
            </w:tcBorders>
            <w:gridSpan w:val="3"/>
          </w:tcPr>
          <w:p>
            <w:pPr>
              <w:ind w:left="2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5"/>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Technology Investors IV, L.P.</w:t>
              </w:r>
            </w:hyperlink>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9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9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-3930650</wp:posOffset>
            </wp:positionV>
            <wp:extent cx="28575" cy="259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2590800"/>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type w:val="continuous"/>
        </w:sectPr>
      </w:pPr>
    </w:p>
    <w:bookmarkStart w:id="3" w:name="page4"/>
    <w:bookmarkEnd w:id="3"/>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6920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4320" cy="6920865"/>
                    </a:xfrm>
                    <a:prstGeom prst="rect">
                      <a:avLst/>
                    </a:prstGeom>
                    <a:noFill/>
                  </pic:spPr>
                </pic:pic>
              </a:graphicData>
            </a:graphic>
          </wp:anchor>
        </w:drawing>
      </w:r>
    </w:p>
    <w:p>
      <w:pPr>
        <w:spacing w:after="0"/>
        <w:tabs>
          <w:tab w:leader="none" w:pos="1500" w:val="left"/>
          <w:tab w:leader="none" w:pos="2900" w:val="left"/>
        </w:tabs>
        <w:rPr>
          <w:sz w:val="20"/>
          <w:szCs w:val="20"/>
          <w:color w:val="auto"/>
        </w:rPr>
      </w:pPr>
      <w:r>
        <w:rPr>
          <w:sz w:val="1"/>
          <w:szCs w:val="1"/>
          <w:color w:val="auto"/>
        </w:rPr>
        <w:drawing>
          <wp:inline distT="0" distB="0" distL="0" distR="0">
            <wp:extent cx="33655" cy="187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655" cy="187960"/>
                    </a:xfrm>
                    <a:prstGeom prst="rect">
                      <a:avLst/>
                    </a:prstGeom>
                    <a:noFill/>
                    <a:ln>
                      <a:noFill/>
                    </a:ln>
                  </pic:spPr>
                </pic:pic>
              </a:graphicData>
            </a:graphic>
          </wp:inline>
        </w:drawing>
      </w:r>
      <w:r>
        <w:rPr>
          <w:rFonts w:ascii="Arial" w:cs="Arial" w:eastAsia="Arial" w:hAnsi="Arial"/>
          <w:sz w:val="13"/>
          <w:szCs w:val="13"/>
          <w:color w:val="auto"/>
        </w:rPr>
        <w:t xml:space="preserve"> (City)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Silver Lake Technology Associates IV, L.P.</w:t>
        </w:r>
      </w:hyperlink>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SLTA IV (GP),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5"/>
          </w:tcPr>
          <w:p>
            <w:pPr>
              <w:spacing w:after="0" w:line="213"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Silver Lake Group, L.L.C.</w:t>
              </w:r>
            </w:hyperlink>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7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3"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Durban Egon</w:t>
              </w:r>
            </w:hyperlink>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5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11, 2026.</w:t>
      </w:r>
    </w:p>
    <w:p>
      <w:pPr>
        <w:spacing w:after="0" w:line="22"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11, 2026, certain of the Reporting Persons converted shares of Class B Common Stock into an equal number of shares of Class C Common Stock in connection with the sales described in footnote (1) above.</w:t>
      </w:r>
    </w:p>
    <w:p>
      <w:pPr>
        <w:spacing w:after="0" w:line="25" w:lineRule="exact"/>
        <w:rPr>
          <w:rFonts w:ascii="Times New Roman" w:cs="Times New Roman" w:eastAsia="Times New Roman" w:hAnsi="Times New Roman"/>
          <w:sz w:val="13"/>
          <w:szCs w:val="13"/>
          <w:color w:val="008000"/>
        </w:rPr>
      </w:pPr>
    </w:p>
    <w:p>
      <w:pPr>
        <w:ind w:left="40" w:right="4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Silver Lake Technology Associates IV, L.P. and the general partner of Silver Lake Technology Associates IV, L.P. is SLTA IV (GP), L.L.C.</w:t>
      </w:r>
    </w:p>
    <w:p>
      <w:pPr>
        <w:spacing w:after="0" w:line="22" w:lineRule="exact"/>
        <w:rPr>
          <w:rFonts w:ascii="Times New Roman" w:cs="Times New Roman" w:eastAsia="Times New Roman" w:hAnsi="Times New Roman"/>
          <w:sz w:val="13"/>
          <w:szCs w:val="13"/>
          <w:color w:val="008000"/>
        </w:rPr>
      </w:pPr>
    </w:p>
    <w:p>
      <w:pPr>
        <w:ind w:left="40" w:right="26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38" w:lineRule="exact"/>
        <w:rPr>
          <w:rFonts w:ascii="Times New Roman" w:cs="Times New Roman" w:eastAsia="Times New Roman" w:hAnsi="Times New Roman"/>
          <w:sz w:val="13"/>
          <w:szCs w:val="13"/>
          <w:color w:val="008000"/>
        </w:rPr>
      </w:pPr>
    </w:p>
    <w:p>
      <w:pPr>
        <w:ind w:left="40" w:right="140" w:hanging="2"/>
        <w:spacing w:after="0" w:line="244"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directly by Mr. Durban.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38" w:lineRule="exact"/>
        <w:rPr>
          <w:rFonts w:ascii="Times New Roman" w:cs="Times New Roman" w:eastAsia="Times New Roman" w:hAnsi="Times New Roman"/>
          <w:sz w:val="13"/>
          <w:szCs w:val="13"/>
          <w:color w:val="008000"/>
        </w:rPr>
      </w:pPr>
    </w:p>
    <w:p>
      <w:pPr>
        <w:ind w:left="40" w:right="2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$370.0200 to $370.9800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40" w:hanging="2"/>
        <w:spacing w:after="0" w:line="283" w:lineRule="auto"/>
        <w:tabs>
          <w:tab w:leader="none" w:pos="22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$371.0400 to $372.0100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2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$372.1500 to $373.1400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2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$373.1600 to $374.1000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2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$374.1694 to $375.1327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4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$375.1660 to $376.1511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2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$376.1600 to $377.1400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20" w:hanging="2"/>
        <w:spacing w:after="0" w:line="283"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$377.1800 to $378.1700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40" w:right="20" w:hanging="2"/>
        <w:spacing w:after="0" w:line="284" w:lineRule="auto"/>
        <w:tabs>
          <w:tab w:leader="none" w:pos="2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$378.1800 to $379.1700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90" w:orient="portrait"/>
          <w:cols w:equalWidth="0" w:num="1">
            <w:col w:w="10940"/>
          </w:cols>
          <w:pgMar w:left="460" w:top="112" w:right="499" w:bottom="0" w:gutter="0" w:footer="0" w:header="0"/>
        </w:sectPr>
      </w:pPr>
    </w:p>
    <w:bookmarkStart w:id="4" w:name="page5"/>
    <w:bookmarkEnd w:id="4"/>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$379.1800 to $380.1700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$380.1800 to $381.1700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$381.2300 to $382.1900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$382.3202 to $383.2600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$383.3237 to $384.2997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$384.3500 to $385.2900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$385.3575 to $386.3472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$386.4424 to $387.2898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$387.4900 to $388.4719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$388.5200 to $389.5000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$389.5700 to $390.5687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hanging="2"/>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$390.6224 to $391.0650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 w:right="12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75,341 shares of Class C Common Stock, Silver Lake Partners IV, L.P. directly holds 57,380 shares of Class C Common Stock, Silver Lake Partners V DE (AIV), L.P. directly holds 42,290 shares of Class C Common Stock, and Silver Lake Technology Investors V, L.P. directly holds 0 shares of Class C Common Stock, which securities and transactions are reported on separate Form 4 filings.</w:t>
      </w:r>
    </w:p>
    <w:p>
      <w:pPr>
        <w:spacing w:after="0" w:line="25" w:lineRule="exact"/>
        <w:rPr>
          <w:rFonts w:ascii="Times New Roman" w:cs="Times New Roman" w:eastAsia="Times New Roman" w:hAnsi="Times New Roman"/>
          <w:sz w:val="13"/>
          <w:szCs w:val="13"/>
          <w:color w:val="008000"/>
        </w:rPr>
      </w:pPr>
    </w:p>
    <w:p>
      <w:pPr>
        <w:jc w:val="both"/>
        <w:ind w:left="2" w:right="4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SL SPV-2, L.P. directly holds 17,081,865 shares of Class B Common Stock, Silver Lake Partners IV, L.P. directly holds 17,535,391 shares of Class B Common Stock, Silver Lake Partners V DE (AIV), L.P. directly holds 9,491,885 shares of Class B Common Stock, and Silver Lake Technology Investors V, L.P. directly holds 116,345 shares of Class B Common Stock, which securities and transactions are reported on separate Form 4 filings.</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spacing w:after="0" w:line="255"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82"/>
          </w:cols>
          <w:pgMar w:left="498" w:top="127" w:right="519" w:bottom="1440" w:gutter="0" w:footer="0" w:header="0"/>
        </w:sectPr>
      </w:pPr>
    </w:p>
    <w:p>
      <w:pPr>
        <w:spacing w:after="0" w:line="4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251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and Chief Legal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2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Silver 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22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managing member of SLTA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877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(GP), L.L.C., gen.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849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9937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Associates IV, L.P., gen.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239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of 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61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Investors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714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6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34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336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61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50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06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2730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2223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177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5899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36"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-4445</wp:posOffset>
            </wp:positionV>
            <wp:extent cx="10071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10642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06426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-11430</wp:posOffset>
            </wp:positionV>
            <wp:extent cx="310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71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662" w:space="100"/>
            <w:col w:w="2120"/>
          </w:cols>
          <w:pgMar w:left="498" w:top="127" w:right="519"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40" w:hanging="2"/>
        <w:spacing w:after="0" w:line="32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13" Type="http://schemas.openxmlformats.org/officeDocument/2006/relationships/hyperlink" Target="http://www.sec.gov/cgi-bin/browse-edgar?action=getcompany&amp;CIK=0001672565" TargetMode="External"/><Relationship Id="rId14" Type="http://schemas.openxmlformats.org/officeDocument/2006/relationships/hyperlink" Target="http://www.sec.gov/cgi-bin/browse-edgar?action=getcompany&amp;CIK=0001571996" TargetMode="External"/><Relationship Id="rId20" Type="http://schemas.openxmlformats.org/officeDocument/2006/relationships/hyperlink" Target="http://www.sec.gov/cgi-bin/browse-edgar?action=getcompany&amp;CIK=0001672566" TargetMode="External"/><Relationship Id="rId21" Type="http://schemas.openxmlformats.org/officeDocument/2006/relationships/hyperlink" Target="http://www.sec.gov/cgi-bin/browse-edgar?action=getcompany&amp;CIK=0001672568" TargetMode="External"/><Relationship Id="rId22" Type="http://schemas.openxmlformats.org/officeDocument/2006/relationships/hyperlink" Target="http://www.sec.gov/cgi-bin/browse-edgar?action=getcompany&amp;CIK=0001418226" TargetMode="External"/><Relationship Id="rId23"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2026-06-15T16:55:11Z</dcterms:created>
  <dcterms:modified xsi:type="dcterms:W3CDTF">2026-06-15T16:55:11Z</dcterms:modified>
</cp:coreProperties>
</file>