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14A</w:t>
      </w:r>
    </w:p>
    <w:p>
      <w:pPr>
        <w:spacing w:after="0" w:line="172"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175895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2" w:lineRule="exact"/>
        <w:rPr>
          <w:sz w:val="24"/>
          <w:szCs w:val="24"/>
          <w:color w:val="auto"/>
        </w:rPr>
      </w:pPr>
    </w:p>
    <w:p>
      <w:pPr>
        <w:spacing w:after="0" w:line="207" w:lineRule="exact"/>
        <w:tabs>
          <w:tab w:leader="none" w:pos="316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4"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3"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17"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Dell Inc.</w:t>
      </w:r>
    </w:p>
    <w:p>
      <w:pPr>
        <w:spacing w:after="0" w:line="5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3"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Denali Holding Inc.</w:t>
      </w:r>
    </w:p>
    <w:p>
      <w:pPr>
        <w:spacing w:after="0" w:line="49"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22"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line="268"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78"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600" w:hanging="472"/>
        <w:spacing w:after="0" w:line="332" w:lineRule="auto"/>
        <w:tabs>
          <w:tab w:leader="none" w:pos="4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47" w:lineRule="exact"/>
        <w:rPr>
          <w:rFonts w:ascii="MS PGothic" w:cs="MS PGothic" w:eastAsia="MS PGothic" w:hAnsi="MS PGothic"/>
          <w:sz w:val="16"/>
          <w:szCs w:val="16"/>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-4250690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-3830320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-3272790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-2852420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-2432685</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-982980</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-562610</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-142875</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340"/>
          </w:cols>
          <w:pgMar w:left="240" w:top="422" w:right="319" w:bottom="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740410</wp:posOffset>
            </wp:positionH>
            <wp:positionV relativeFrom="page">
              <wp:posOffset>226060</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372110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ind w:left="41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Statement of Michael Dell and Silver Lake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July 24, 2013 – Michael Dell and Silver Lake Partners released the following statement today:</w:t>
      </w:r>
    </w:p>
    <w:p>
      <w:pPr>
        <w:spacing w:after="0" w:line="90"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Under current provisions, shares that don’t vote are counted as votes against the transaction for purposes of determining whether a majority of the unaffiliated shares wish to accept our offer. According to our latest tally, approximately 27% of the unaffiliated shares have not yet been voted. The presumption that these shares should be treated as if they had voted against the transaction is patently unfair.</w:t>
      </w:r>
    </w:p>
    <w:p>
      <w:pPr>
        <w:spacing w:after="0" w:line="14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believe that $13.75 per share is a full and fair price. We also believe that the decision of whether to accept this offer should rest in the hands of the unaffiliated shareholders. The will of the majority of the unaffiliated shares voting on the transaction should not be thwarted by an unfair standard that counts unaffiliated shares not voting as “no” votes. We believe that the vote of the majority of the unaffiliated shares voting on the transaction should be respected, and that if this majority wishes to accept our offer, it is only fair to permit them to do so.</w:t>
      </w:r>
    </w:p>
    <w:p>
      <w:pPr>
        <w:spacing w:after="0" w:line="143"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In our proposal to the special committee, we also left it open for them to decide whether to change the record date. We believe a change in the record date is essential as it would give shareholders time to process and vote on our new proposal.</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Information and Where to Find It</w:t>
      </w:r>
    </w:p>
    <w:p>
      <w:pPr>
        <w:spacing w:after="0" w:line="90" w:lineRule="exact"/>
        <w:rPr>
          <w:sz w:val="20"/>
          <w:szCs w:val="20"/>
          <w:color w:val="auto"/>
        </w:rPr>
      </w:pPr>
    </w:p>
    <w:p>
      <w:pPr>
        <w:jc w:val="both"/>
        <w:ind w:right="20"/>
        <w:spacing w:after="0" w:line="298" w:lineRule="auto"/>
        <w:rPr>
          <w:sz w:val="20"/>
          <w:szCs w:val="20"/>
          <w:color w:val="auto"/>
        </w:rPr>
      </w:pPr>
      <w:r>
        <w:rPr>
          <w:rFonts w:ascii="Arial" w:cs="Arial" w:eastAsia="Arial" w:hAnsi="Arial"/>
          <w:sz w:val="16"/>
          <w:szCs w:val="16"/>
          <w:color w:val="auto"/>
        </w:rPr>
        <w:t>In connection with the proposed merger transaction, the Company filed with the SEC a definitive proxy statement and other relevant documents, including a form of proxy card, on May 31, 2013. The definitive proxy statement and a form of proxy have been mailed to the Company’s stockholders. Stockholders are urged to read the proxy statement and any other documents filed with the SEC in connection with the proposed merger or incorporated by reference in the proxy statement because they contain important information about the proposed merger.</w:t>
      </w:r>
    </w:p>
    <w:p>
      <w:pPr>
        <w:spacing w:after="0" w:line="113"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Investors are able to obtain a free copy of documents filed with the SEC at the SEC’s website at http://www.sec.gov. In addition, investors may obtain a free copy of the Company’s filings with the SEC from the Company’s website at http://content.dell.com/us/en/corp/investor-financialreporting.aspx or by directing a request to: Dell Inc. One Dell Way, Round Rock, Texas 78682, Attn: Investor Relations, (512) 728-7800, investor_relations@dell.com.</w:t>
      </w:r>
    </w:p>
    <w:p>
      <w:pPr>
        <w:spacing w:after="0" w:line="10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Denali Holdings, directly or through one or more affiliates (including the MD Investors, the SLP Investors, the MSDC Investor and their respective affiliates or representatives, as each is defined in the definitive proxy statement) or representatives, may be deemed a “participant” in the solicitation of proxies from stockholders of the Company in favor of the proposed merger. Information regarding the persons who may, under the rules of the SEC, be considered participants in the solicitation of the stockholders of the Company in connection with the proposed merger, and their direct or indirect interests, by security holdings or otherwise, which may be different from those of the Company’s stockholders generally, is set forth in the definitive proxy statement and the other relevant documents filed with the SEC. You can find information about the Denali Holding’s and Silver Lake’s executive officers and directors in the Company’s definitive proxy statement filed with the SEC on Schedule 14A on May 31, 2013.</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2019-12-20T20:42:43Z</dcterms:created>
  <dcterms:modified xsi:type="dcterms:W3CDTF">2019-12-20T20:42:43Z</dcterms:modified>
</cp:coreProperties>
</file>